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Wed Sep 23, start of class (worksheet, all teams); Team 2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2 also uploads slides before class</w:t>
            </w:r>
          </w:p>
        </w:tc>
      </w:tr>
    </w:tbl>
    <w:p/>
    <w:p>
      <w:r>
        <w:rPr>
          <w:b/>
        </w:rPr>
        <w:t>Where this fits:</w:t>
      </w:r>
      <w:r>
        <w:t xml:space="preserve"> Lecture — Week 5 Monday, </w:t>
      </w:r>
      <w:r>
        <w:rPr>
          <w:i/>
        </w:rPr>
        <w:t>Qualitative research + focus groups</w:t>
      </w:r>
      <w:r>
        <w:t xml:space="preserve"> (watch the assigned pre-watch recording first) → Practice — Summit Point round </w:t>
      </w:r>
      <w:r>
        <w:rPr>
          <w:b/>
        </w:rPr>
        <w:t>r06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4 and 6).</w:t>
      </w:r>
    </w:p>
    <w:p>
      <w:pPr>
        <w:pStyle w:val="Heading2"/>
      </w:pPr>
      <w:r>
        <w:t>Steps</w:t>
      </w:r>
    </w:p>
    <w:p>
      <w:r>
        <w:t xml:space="preserve">*Voice-first prep: after reading the case yourself, talk it through with the </w:t>
      </w:r>
      <w:r>
        <w:rPr>
          <w:b/>
        </w:rPr>
        <w:t>AI voice tutor</w:t>
      </w:r>
      <w:r>
        <w:t xml:space="preserve"> (ChatGPT voice mode; starter prompt posted with the case), with this week's assigned </w:t>
      </w:r>
      <w:r>
        <w:rPr>
          <w:b/>
        </w:rPr>
        <w:t>textbook chapter</w:t>
      </w:r>
      <w:r>
        <w:t xml:space="preserve"> in hand as context — it quizzes and challenges rather than answering. Disclose the session in the AI reflection.*</w:t>
      </w:r>
    </w:p>
    <w:p>
      <w:pPr>
        <w:pStyle w:val="ListNumber"/>
      </w:pPr>
      <w:r>
        <w:t>Read the case (Appendix A) individually, then discuss as a team before consulting AI.</w:t>
      </w:r>
    </w:p>
    <w:p>
      <w:pPr>
        <w:pStyle w:val="ListNumber"/>
      </w:pPr>
      <w:r>
        <w:t xml:space="preserve">For each of the seven methods, write </w:t>
      </w:r>
      <w:r>
        <w:rPr>
          <w:b/>
        </w:rPr>
        <w:t>how you would actually use it here</w:t>
      </w:r>
      <w:r>
        <w:t xml:space="preserve"> — who you'd talk to or observe, about what, and what you'd expect to learn about the decline.</w:t>
      </w:r>
    </w:p>
    <w:p>
      <w:pPr>
        <w:pStyle w:val="ListNumber"/>
      </w:pPr>
      <w:r>
        <w:t xml:space="preserve">Add each method's </w:t>
      </w:r>
      <w:r>
        <w:rPr>
          <w:b/>
        </w:rPr>
        <w:t>key limitation</w:t>
      </w:r>
      <w:r>
        <w:t xml:space="preserve"> for this specific problem.</w:t>
      </w:r>
    </w:p>
    <w:p>
      <w:pPr>
        <w:pStyle w:val="ListNumber"/>
      </w:pPr>
      <w:r>
        <w:t xml:space="preserve">Decide </w:t>
      </w:r>
      <w:r>
        <w:rPr>
          <w:b/>
        </w:rPr>
        <w:t>which method(s) you would start with</w:t>
      </w:r>
      <w:r>
        <w:t xml:space="preserve"> and defend the sequence (hint: what does exploratory research buy you before you commit to a survey or experiment?).</w:t>
      </w:r>
    </w:p>
    <w:p>
      <w:pPr>
        <w:pStyle w:val="ListNumber"/>
      </w:pPr>
      <w:r>
        <w:t xml:space="preserve">Fill the worksheet (Appendix B). </w:t>
      </w:r>
      <w:r>
        <w:rPr>
          <w:b/>
        </w:rPr>
        <w:t>Team 2 (presenters):</w:t>
      </w:r>
      <w:r>
        <w:t xml:space="preserve"> watch the prior team's recording, then build a presentation that beats it — re-teach the confusing distinctions better (e.g., focus group vs. IDI, observation vs. experiment), critique the prior presentation, and run an interactive method-matching exercise.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2 only, uploaded before class</w:t>
      </w:r>
    </w:p>
    <w:p>
      <w:pPr>
        <w:ind w:left="360"/>
      </w:pPr>
      <w:r>
        <w:rPr>
          <w:b/>
        </w:rPr>
        <w:t xml:space="preserve">☐  </w:t>
      </w:r>
      <w:r>
        <w:t>AI reflection (below) answered at the end of the worksheet</w:t>
      </w:r>
    </w:p>
    <w:p>
      <w:pPr>
        <w:pStyle w:val="Heading2"/>
      </w:pPr>
      <w:r>
        <w:t>How you'll be graded</w:t>
      </w:r>
    </w:p>
    <w:p>
      <w:r>
        <w:rPr>
          <w:b/>
        </w:rPr>
        <w:t>The benchmark (Team 2):</w:t>
      </w:r>
      <w:r>
        <w:t xml:space="preserve"> the prior semester's recorded presentation of this case is posted on Canvas — your job is to beat it: (1) re-teach at least one key concept </w:t>
      </w:r>
      <w:r>
        <w:rPr>
          <w:b/>
        </w:rPr>
        <w:t>better</w:t>
      </w:r>
      <w:r>
        <w:t xml:space="preserve"> than the recording, (2) critique the prior presentation — what worked, what misled, what was missed — and (3) run an </w:t>
      </w:r>
      <w:r>
        <w:rPr>
          <w:b/>
        </w:rPr>
        <w:t>original interactive exercise</w:t>
      </w:r>
      <w:r>
        <w:t xml:space="preserve"> with the class. </w:t>
      </w:r>
      <w:r>
        <w:rPr>
          <w:b/>
        </w:rPr>
        <w:t>20-minute block: 15 min presentation + 5 min Q&amp;A.</w:t>
      </w:r>
      <w:r>
        <w:t xml:space="preserve"> If no prior recording exists for this case, the instructor's Case-1 demo is the benchmark.</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4 &amp; 6); exploratory vs. descriptive vs. causal roles kept straight; projective techniques and experience surveys not confused with focus groups</w:t>
            </w:r>
          </w:p>
        </w:tc>
      </w:tr>
      <w:tr>
        <w:tc>
          <w:tcPr>
            <w:tcW w:type="dxa" w:w="3312"/>
          </w:tcPr>
          <w:p>
            <w:r>
              <w:rPr>
                <w:sz w:val="19"/>
              </w:rPr>
            </w:r>
            <w:r>
              <w:rPr>
                <w:sz w:val="19"/>
              </w:rPr>
              <w:t>Beat the benchmark: re-teach &amp; critique</w:t>
            </w:r>
          </w:p>
        </w:tc>
        <w:tc>
          <w:tcPr>
            <w:tcW w:type="dxa" w:w="3312"/>
          </w:tcPr>
          <w:p>
            <w:r>
              <w:rPr>
                <w:sz w:val="19"/>
              </w:rPr>
            </w:r>
            <w:r>
              <w:rPr>
                <w:sz w:val="19"/>
              </w:rPr>
              <w:t>20%</w:t>
            </w:r>
          </w:p>
        </w:tc>
        <w:tc>
          <w:tcPr>
            <w:tcW w:type="dxa" w:w="3312"/>
          </w:tcPr>
          <w:p>
            <w:r>
              <w:rPr>
                <w:sz w:val="19"/>
              </w:rPr>
            </w:r>
            <w:r>
              <w:rPr>
                <w:sz w:val="19"/>
              </w:rPr>
              <w:t>The choice logic between methods taught measurably better than the prior recording; the critique names specifics, not vibes</w:t>
            </w:r>
          </w:p>
        </w:tc>
      </w:tr>
      <w:tr>
        <w:tc>
          <w:tcPr>
            <w:tcW w:type="dxa" w:w="3312"/>
          </w:tcPr>
          <w:p>
            <w:r>
              <w:rPr>
                <w:sz w:val="19"/>
              </w:rPr>
            </w:r>
            <w:r>
              <w:rPr>
                <w:sz w:val="19"/>
              </w:rPr>
              <w:t>Interactive exercise &amp; delivery</w:t>
            </w:r>
          </w:p>
        </w:tc>
        <w:tc>
          <w:tcPr>
            <w:tcW w:type="dxa" w:w="3312"/>
          </w:tcPr>
          <w:p>
            <w:r>
              <w:rPr>
                <w:sz w:val="19"/>
              </w:rPr>
            </w:r>
            <w:r>
              <w:rPr>
                <w:sz w:val="19"/>
              </w:rPr>
              <w:t>10%</w:t>
            </w:r>
          </w:p>
        </w:tc>
        <w:tc>
          <w:tcPr>
            <w:tcW w:type="dxa" w:w="3312"/>
          </w:tcPr>
          <w:p>
            <w:r>
              <w:rPr>
                <w:sz w:val="19"/>
              </w:rPr>
            </w:r>
            <w:r>
              <w:rPr>
                <w:sz w:val="19"/>
              </w:rPr>
              <w:t>Original exercise that makes the class apply the skill; 15 min + 5 Q&amp;A, clear slides,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pStyle w:val="ListNumber"/>
      </w:pPr>
      <w:r>
        <w:t>Secondary data analysis</w:t>
      </w:r>
    </w:p>
    <w:p>
      <w:pPr>
        <w:pStyle w:val="ListNumber"/>
      </w:pPr>
      <w:r>
        <w:t>Experience survey</w:t>
      </w:r>
    </w:p>
    <w:p>
      <w:pPr>
        <w:pStyle w:val="ListNumber"/>
      </w:pPr>
      <w:r>
        <w:t>Focus group</w:t>
      </w:r>
    </w:p>
    <w:p>
      <w:pPr>
        <w:pStyle w:val="ListNumber"/>
      </w:pPr>
      <w:r>
        <w:t>In-depth interview</w:t>
      </w:r>
    </w:p>
    <w:p>
      <w:pPr>
        <w:pStyle w:val="ListNumber"/>
      </w:pPr>
      <w:r>
        <w:t>Projective techniques</w:t>
      </w:r>
    </w:p>
    <w:p>
      <w:pPr>
        <w:pStyle w:val="ListNumber"/>
      </w:pPr>
      <w:r>
        <w:t>Observation</w:t>
      </w:r>
    </w:p>
    <w:p>
      <w:pPr>
        <w:pStyle w:val="ListNumber"/>
      </w:pPr>
      <w:r>
        <w:t>Experiment</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