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100 (term-project component)</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numbered PDF per team</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varies by team</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These differences explain most of the divergences you will find — always tie your interpretation back to them.</w:t>
      </w:r>
    </w:p>
    <w:p>
      <w:pPr>
        <w:pStyle w:val="Heading2"/>
      </w:pPr>
      <w:r>
        <w:t>Steps</w:t>
      </w:r>
    </w:p>
    <w:p>
      <w:pPr>
        <w:pStyle w:val="ListNumber"/>
      </w:pPr>
      <w:r>
        <w:rPr>
          <w:b/>
        </w:rPr>
        <w:t>Analyze each RQ</w:t>
      </w:r>
      <w:r>
        <w:t xml:space="preserve"> per its PA6 card and write one results block (Appendix A): the statistic or test output, a labeled chart (charts, not just tables), and 2–4 sentences on what the answer means for the client.</w:t>
      </w:r>
    </w:p>
    <w:p>
      <w:pPr>
        <w:pStyle w:val="ListNumber"/>
      </w:pPr>
      <w:r>
        <w:rPr>
          <w:b/>
        </w:rPr>
        <w:t>Hand-calculate one independent-samples t-test</w:t>
      </w:r>
      <w:r>
        <w:t xml:space="preserve"> on a Difference RQ, using real data: hypotheses, group means and SDs, standard error, t, df, p, plain-language conclusion — every arithmetic step shown (checklist in Appendix A).</w:t>
      </w:r>
    </w:p>
    <w:p>
      <w:pPr>
        <w:pStyle w:val="ListNumber"/>
      </w:pPr>
      <w:r>
        <w:rPr>
          <w:b/>
        </w:rPr>
        <w:t>Hand-calculate one two-way chi-square:</w:t>
      </w:r>
      <w:r>
        <w:t xml:space="preserve"> observed crosstab, expected frequency per cell (E = row total × column total ÷ n), cell-by-cell (O − E)²/E, χ², df, p, conclusion. After both hand tests, you may scale the remaining analyses with AI — note which tests were manual vs. delegated.</w:t>
      </w:r>
    </w:p>
    <w:p>
      <w:pPr>
        <w:pStyle w:val="ListNumber"/>
      </w:pPr>
      <w:r>
        <w:rPr>
          <w:b/>
        </w:rPr>
        <w:t>Match the columns</w:t>
      </w:r>
      <w:r>
        <w:t xml:space="preserve"> with the mapping file posted on Canvas, then compare </w:t>
      </w:r>
      <w:r>
        <w:rPr>
          <w:b/>
        </w:rPr>
        <w:t>≥ 5 metrics</w:t>
      </w:r>
      <w:r>
        <w:t xml:space="preserve"> side by side (Appendix B), with a Convergent? verdict per row.</w:t>
      </w:r>
    </w:p>
    <w:p>
      <w:pPr>
        <w:pStyle w:val="ListNumber"/>
      </w:pPr>
      <w:r>
        <w:rPr>
          <w:b/>
        </w:rPr>
        <w:t>Chart the comparison:</w:t>
      </w:r>
      <w:r>
        <w:t xml:space="preserve"> ≥ 2 charts showing the same metric across both sources, one consistent color per source throughout (e.g., always blue = aytm, orange = student).</w:t>
      </w:r>
    </w:p>
    <w:p>
      <w:pPr>
        <w:pStyle w:val="ListNumber"/>
      </w:pP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 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means and SDs computed for both subgroups (show n per group)</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