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PA6 — Data Analysis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25,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numbered RQ list + filled RQ cards (Appendix A) + comparison plan (Appendix B)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4.1 </w:t>
      </w:r>
      <w:r>
        <w:rPr>
          <w:i/>
        </w:rPr>
        <w:t>Descriptives + the Data Analysis Plan</w:t>
      </w:r>
      <w:r>
        <w:t xml:space="preserve"> (week 8) → Practice — Summit Point </w:t>
      </w:r>
      <w:r>
        <w:rPr>
          <w:b/>
        </w:rPr>
        <w:t>Round 12</w:t>
      </w:r>
      <w:r>
        <w:t xml:space="preserve"> (</w:t>
      </w:r>
      <w:r>
        <w:rPr>
          <w:i/>
        </w:rPr>
        <w:t>Analyze the Neo Survey</w:t>
      </w:r>
      <w:r>
        <w:t xml:space="preserve"> — the Analysis pack's pick-the-test-per-RQ page) → Now the real thing: the plan you will execute on Neo Smart Living's actual data in PA7.</w:t>
      </w:r>
    </w:p>
    <w:p>
      <w:pPr>
        <w:pStyle w:val="Heading2"/>
      </w:pPr>
      <w:r>
        <w:t>The gist</w:t>
      </w:r>
    </w:p>
    <w:p>
      <w:r>
        <w:t xml:space="preserve">Before anyone runs a single number, write down — for every research question — which aytm item, which variables, which level of measurement, and which descriptive statistic or statistical test will answer it. The plan spans both data sources: the </w:t>
      </w:r>
      <w:r>
        <w:rPr>
          <w:b/>
        </w:rPr>
        <w:t>aytm professional panel (n = 600)</w:t>
      </w:r>
      <w:r>
        <w:t xml:space="preserve"> and your </w:t>
      </w:r>
      <w:r>
        <w:rPr>
          <w:b/>
        </w:rPr>
        <w:t>student-collected Google Forms survey</w:t>
      </w:r>
      <w:r>
        <w:t>. A tight plan makes PA7 an execution exercise; a loose one is where teams lose the most points in the whole project.</w:t>
      </w:r>
    </w:p>
    <w:p>
      <w:pPr>
        <w:pStyle w:val="Heading2"/>
      </w:pPr>
      <w:r>
        <w:t>The course conventions (your plan is graded against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Convention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levels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5+ points = Interval</w:t>
            </w:r>
            <w:r>
              <w:rPr>
                <w:sz w:val="19"/>
              </w:rPr>
              <w:t xml:space="preserve"> (mean, SD, t-test, Pearson OK); </w:t>
            </w:r>
            <w:r>
              <w:rPr>
                <w:b/>
                <w:sz w:val="19"/>
              </w:rPr>
              <w:t>≤ 4 points = Ordinal</w:t>
            </w:r>
            <w:r>
              <w:rPr>
                <w:sz w:val="19"/>
              </w:rPr>
              <w:t xml:space="preserve"> (frequencies / %, no mean)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Two-way chi-square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test — phrase the RQ "Does [outcome] </w:t>
            </w:r>
            <w:r>
              <w:rPr>
                <w:b/>
                <w:sz w:val="19"/>
              </w:rPr>
              <w:t>differ</w:t>
            </w:r>
            <w:r>
              <w:rPr>
                <w:sz w:val="19"/>
              </w:rPr>
              <w:t xml:space="preserve"> between [groups]?"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Association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Pearson correlation, two continuous variables only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"Mean"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descriptive statistic, </w:t>
            </w:r>
            <w:r>
              <w:rPr>
                <w:b/>
                <w:sz w:val="19"/>
              </w:rPr>
              <w:t>never a test</w:t>
            </w:r>
            <w:r>
              <w:rPr>
                <w:sz w:val="19"/>
              </w:rPr>
              <w:t xml:space="preserve"> — comparing group means ⇒ independent-samples t-test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Question numbers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Always the </w:t>
            </w:r>
            <w:r>
              <w:rPr>
                <w:b/>
                <w:sz w:val="19"/>
              </w:rPr>
              <w:t>aytm Q#</w:t>
            </w:r>
            <w:r>
              <w:rPr>
                <w:sz w:val="19"/>
              </w:rPr>
              <w:t xml:space="preserve"> (instrument on Canvas) — never your own Form's numbering</w:t>
            </w:r>
          </w:p>
        </w:tc>
      </w:tr>
    </w:tbl>
    <w:p/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Number your research questions</w:t>
      </w:r>
      <w:r>
        <w:t xml:space="preserve"> (revised per PA3 feedback): ≥ 10 total, each labeled Descriptive / Differences / Association, with ≥ 1 Differences and ≥ 1 Association.</w:t>
      </w:r>
    </w:p>
    <w:p>
      <w:pPr>
        <w:ind w:left="432" w:hanging="432"/>
      </w:pPr>
      <w:r>
        <w:t>2.</w:t>
        <w:tab/>
      </w:r>
      <w:r>
        <w:rPr>
          <w:b/>
        </w:rPr>
        <w:t>Fill one RQ card per question</w:t>
      </w:r>
      <w:r>
        <w:t xml:space="preserve"> (Appendix A): aytm Q#, variables — grouping vs. analysis separated for Differences RQs — level of measurement, the descriptive statistic OR statistical test, and the expected output.</w:t>
      </w:r>
    </w:p>
    <w:p>
      <w:pPr>
        <w:ind w:left="432" w:hanging="432"/>
      </w:pPr>
      <w:r>
        <w:t>3.</w:t>
        <w:tab/>
      </w:r>
      <w:r>
        <w:rPr>
          <w:b/>
        </w:rPr>
        <w:t>Plan the two-source comparison</w:t>
      </w:r>
      <w:r>
        <w:t xml:space="preserve"> (Appendix B): 3–5 metrics measurable in both sources, the statistic to report per metric, and </w:t>
      </w:r>
      <w:r>
        <w:rPr>
          <w:b/>
        </w:rPr>
        <w:t>≥ 3 numeric convergence thresholds</w:t>
      </w:r>
      <w:r>
        <w:t xml:space="preserve"> (e.g., means within ± 0.5; same top-ranked category; top-category % within ± 10 points).</w:t>
      </w:r>
    </w:p>
    <w:p>
      <w:pPr>
        <w:ind w:left="432" w:hanging="432"/>
      </w:pPr>
      <w:r>
        <w:t>4.</w:t>
        <w:tab/>
      </w:r>
      <w:r>
        <w:rPr>
          <w:b/>
        </w:rPr>
        <w:t>State the instrument differences</w:t>
      </w:r>
      <w:r>
        <w:t xml:space="preserve"> and which RQs they touch: aytm is PII-free (no demographics), national, screened for outdoor space; your survey is convenience-based, SoCal, with wording tweaks.</w:t>
      </w:r>
    </w:p>
    <w:p>
      <w:pPr>
        <w:ind w:left="432" w:hanging="432"/>
      </w:pPr>
      <w:r>
        <w:t>5.</w:t>
        <w:tab/>
      </w:r>
      <w:r>
        <w:rPr>
          <w:b/>
        </w:rPr>
        <w:t>Audit every card against the conventions table</w:t>
      </w:r>
      <w:r>
        <w:t xml:space="preserve"> above — the grader will.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Numbered RQ list with Type labels (≥ 10 RQs; ≥ 1 Differences; ≥ 1 Association)</w:t>
      </w:r>
    </w:p>
    <w:p>
      <w:pPr>
        <w:ind w:left="360"/>
      </w:pPr>
      <w:r>
        <w:rPr>
          <w:b/>
        </w:rPr>
        <w:t xml:space="preserve">☐  </w:t>
      </w:r>
      <w:r>
        <w:t>One completed RQ card per research question (Appendix A)</w:t>
      </w:r>
    </w:p>
    <w:p>
      <w:pPr>
        <w:ind w:left="360"/>
      </w:pPr>
      <w:r>
        <w:rPr>
          <w:b/>
        </w:rPr>
        <w:t xml:space="preserve">☐  </w:t>
      </w:r>
      <w:r>
        <w:t>Two-source comparison plan (Appendix B) + instrument-differences paragraph naming the affected RQs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cards &amp; test mapping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carded; test matches RQ type; grouping vs. analysis variables separated; expected output names the specific table, chart, or statistic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Conventions compliance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rule applied; no "mean" listed as a test; Association rows pair two continuous variables; chi-square RQs phrased as Differences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Two-source comparison plan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3–5 Q-numbered metrics, a statistic per metric, ≥ 3 numeric thresholds, instrument differences tied to specific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Completeness &amp; instrument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minimums met; every Q# and variable name matches the aytm instrument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cards (fill one row per research question)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</w:tbl>
    <w:p/>
    <w:p>
      <w:pPr>
        <w:pStyle w:val="Heading3"/>
      </w:pPr>
      <w:r>
        <w:t>Filled example cards — one per RQ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What is the distribution of purchase interest at the ~$23,000 price point?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Purchase interest at $23K (single variable)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(1–5 Likert → 5+ rule)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 statistic: mean, SD, frequency distribution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Mean interest (e.g., "M = 2.34, SD = 1.32"); % rating 4–5 (top-2 box); bar chart of the distribution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Does purchase interest (Q6) differ between HOA members and non-members?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 × Q35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Grouping:</w:t>
            </w:r>
            <w:r>
              <w:rPr>
                <w:sz w:val="18"/>
              </w:rPr>
              <w:t xml:space="preserve"> HOA membership (Q35, Nominal, Yes / No — exclude "Not sure"). </w:t>
            </w:r>
            <w:r>
              <w:rPr>
                <w:b/>
                <w:sz w:val="18"/>
              </w:rPr>
              <w:t>Analysis:</w:t>
            </w:r>
            <w:r>
              <w:rPr>
                <w:sz w:val="18"/>
              </w:rPr>
              <w:t xml:space="preserve"> purchase interest (Q6, Interval)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Nominal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independent-samples t-test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Group means ± SD (descriptive support); t, df, p, Cohen's d (test output); bar chart of means by group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there a positive relationship between general interest in a backyard unit (Q3) and purchase likelihood (Q7)?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Association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Q3 × Q7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interest (Interval) × purchase likelihood (Interval) — both continuous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Interval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Pearson correlation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r and p (e.g., "r = .54, p &lt; .001"); scatter plot; direction + strength interpretation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Two-source comparison plan (fill this table)</w:t>
      </w:r>
    </w:p>
    <w:p>
      <w:r>
        <w:t>"Value-to-be" cells stay descriptive in PA6 — name the statistic you will compute in PA7 (e.g., "mean + top-2-box %" or "% per category + modal category"), not a number. Cross-source comparison in this course is descriptive only: no inferential test across sources.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Student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Convergence threshold (numeric)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