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Case 2 — Marketing Research Methods</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Points</w:t>
            </w:r>
          </w:p>
        </w:tc>
        <w:tc>
          <w:tcPr>
            <w:tcW w:type="dxa" w:w="4968"/>
          </w:tcPr>
          <w:p>
            <w:r>
              <w:rPr>
                <w:b/>
                <w:sz w:val="19"/>
              </w:rPr>
            </w:r>
            <w:r>
              <w:rPr>
                <w:b/>
                <w:sz w:val="19"/>
              </w:rPr>
              <w:t>Participation component — presenting team (Team 2) scored on the rubric below; every team submits the filled worksheet</w:t>
            </w:r>
          </w:p>
        </w:tc>
      </w:tr>
      <w:tr>
        <w:tc>
          <w:tcPr>
            <w:tcW w:type="dxa" w:w="4968"/>
          </w:tcPr>
          <w:p>
            <w:r>
              <w:rPr>
                <w:sz w:val="19"/>
              </w:rPr>
            </w:r>
            <w:r>
              <w:rPr>
                <w:sz w:val="19"/>
              </w:rPr>
              <w:t>Due</w:t>
            </w:r>
          </w:p>
        </w:tc>
        <w:tc>
          <w:tcPr>
            <w:tcW w:type="dxa" w:w="4968"/>
          </w:tcPr>
          <w:p>
            <w:r>
              <w:rPr>
                <w:sz w:val="19"/>
              </w:rPr>
            </w:r>
            <w:r>
              <w:rPr>
                <w:sz w:val="19"/>
              </w:rPr>
              <w:t>Wed Sep 23, start of class (worksheet, all teams); Team 2 presents in class that day</w:t>
            </w:r>
          </w:p>
        </w:tc>
      </w:tr>
      <w:tr>
        <w:tc>
          <w:tcPr>
            <w:tcW w:type="dxa" w:w="4968"/>
          </w:tcPr>
          <w:p>
            <w:r>
              <w:rPr>
                <w:sz w:val="19"/>
              </w:rPr>
            </w:r>
            <w:r>
              <w:rPr>
                <w:sz w:val="19"/>
              </w:rPr>
              <w:t>Work</w:t>
            </w:r>
          </w:p>
        </w:tc>
        <w:tc>
          <w:tcPr>
            <w:tcW w:type="dxa" w:w="4968"/>
          </w:tcPr>
          <w:p>
            <w:r>
              <w:rPr>
                <w:sz w:val="19"/>
              </w:rPr>
            </w:r>
            <w:r>
              <w:rPr>
                <w:sz w:val="19"/>
              </w:rPr>
              <w:t>Team</w:t>
            </w:r>
          </w:p>
        </w:tc>
      </w:tr>
      <w:tr>
        <w:tc>
          <w:tcPr>
            <w:tcW w:type="dxa" w:w="4968"/>
          </w:tcPr>
          <w:p>
            <w:r>
              <w:rPr>
                <w:sz w:val="19"/>
              </w:rPr>
            </w:r>
            <w:r>
              <w:rPr>
                <w:sz w:val="19"/>
              </w:rPr>
              <w:t>Submit</w:t>
            </w:r>
          </w:p>
        </w:tc>
        <w:tc>
          <w:tcPr>
            <w:tcW w:type="dxa" w:w="4968"/>
          </w:tcPr>
          <w:p>
            <w:r>
              <w:rPr>
                <w:sz w:val="19"/>
              </w:rPr>
            </w:r>
            <w:r>
              <w:rPr>
                <w:sz w:val="19"/>
              </w:rPr>
              <w:t>Canvas — this doc's worksheet filled (one PDF per team); Team 2 also uploads slides before class</w:t>
            </w:r>
          </w:p>
        </w:tc>
      </w:tr>
    </w:tbl>
    <w:p/>
    <w:p>
      <w:r>
        <w:rPr>
          <w:b/>
        </w:rPr>
        <w:t>Where this fits:</w:t>
      </w:r>
      <w:r>
        <w:t xml:space="preserve"> Lecture — Week 5 Monday, </w:t>
      </w:r>
      <w:r>
        <w:rPr>
          <w:i/>
        </w:rPr>
        <w:t>Qualitative research + focus groups</w:t>
      </w:r>
      <w:r>
        <w:t xml:space="preserve"> (watch the assigned pre-watch recording first) → Practice — Summit Point round </w:t>
      </w:r>
      <w:r>
        <w:rPr>
          <w:b/>
        </w:rPr>
        <w:t>r06</w:t>
      </w:r>
      <w:r>
        <w:t xml:space="preserve"> </w:t>
      </w:r>
      <w:r>
        <w:rPr>
          <w:i/>
        </w:rPr>
        <w:t>Moderator's Guide</w:t>
      </w:r>
      <w:r>
        <w:t xml:space="preserve"> → Now the case: it presents on the same day as the live focus-group role-play, so the class will have just </w:t>
      </w:r>
      <w:r>
        <w:rPr>
          <w:i/>
        </w:rPr>
        <w:t>run</w:t>
      </w:r>
      <w:r>
        <w:t xml:space="preserve"> one of these methods.</w:t>
      </w:r>
    </w:p>
    <w:p>
      <w:pPr>
        <w:pStyle w:val="Heading2"/>
      </w:pPr>
      <w:r>
        <w:t>The gist</w:t>
      </w:r>
    </w:p>
    <w:p>
      <w:r>
        <w:t>A chain of 43 Italian restaurants in the Midwest has been losing sales for about a year, and nobody knows why. Your team explains how each of seven research methods could be used to diagnose the decline — and what each one can and cannot tell you. Obtain the method definitions from your textbook (primarily Chapters 4 and 6).</w:t>
      </w:r>
    </w:p>
    <w:p>
      <w:pPr>
        <w:pStyle w:val="Heading2"/>
      </w:pPr>
      <w:r>
        <w:t>Steps</w:t>
      </w:r>
    </w:p>
    <w:p>
      <w:pPr>
        <w:pStyle w:val="ListNumber"/>
      </w:pPr>
      <w:r>
        <w:t>Read the case (Appendix A) individually, then discuss as a team before consulting AI.</w:t>
      </w:r>
    </w:p>
    <w:p>
      <w:pPr>
        <w:pStyle w:val="ListNumber"/>
      </w:pPr>
      <w:r>
        <w:t xml:space="preserve">For each of the seven methods, write </w:t>
      </w:r>
      <w:r>
        <w:rPr>
          <w:b/>
        </w:rPr>
        <w:t>how you would actually use it here</w:t>
      </w:r>
      <w:r>
        <w:t xml:space="preserve"> — who you'd talk to or observe, about what, and what you'd expect to learn about the decline.</w:t>
      </w:r>
    </w:p>
    <w:p>
      <w:pPr>
        <w:pStyle w:val="ListNumber"/>
      </w:pPr>
      <w:r>
        <w:t xml:space="preserve">Add each method's </w:t>
      </w:r>
      <w:r>
        <w:rPr>
          <w:b/>
        </w:rPr>
        <w:t>key limitation</w:t>
      </w:r>
      <w:r>
        <w:t xml:space="preserve"> for this specific problem.</w:t>
      </w:r>
    </w:p>
    <w:p>
      <w:pPr>
        <w:pStyle w:val="ListNumber"/>
      </w:pPr>
      <w:r>
        <w:t xml:space="preserve">Decide </w:t>
      </w:r>
      <w:r>
        <w:rPr>
          <w:b/>
        </w:rPr>
        <w:t>which method(s) you would start with</w:t>
      </w:r>
      <w:r>
        <w:t xml:space="preserve"> and defend the sequence (hint: what does exploratory research buy you before you commit to a survey or experiment?).</w:t>
      </w:r>
    </w:p>
    <w:p>
      <w:pPr>
        <w:pStyle w:val="ListNumber"/>
      </w:pPr>
      <w:r>
        <w:t xml:space="preserve">Fill the worksheet (Appendix B). </w:t>
      </w:r>
      <w:r>
        <w:rPr>
          <w:b/>
        </w:rPr>
        <w:t>Team 2:</w:t>
      </w:r>
      <w:r>
        <w:t xml:space="preserve"> build slides that teach the class the methods, the confusing distinctions (e.g., focus group vs. IDI, observation vs. experiment), and your recommended sequence — 10–15 minutes, professor-role.</w:t>
      </w:r>
    </w:p>
    <w:p>
      <w:pPr>
        <w:pStyle w:val="Heading2"/>
      </w:pPr>
      <w:r>
        <w:t>What to submit</w:t>
      </w:r>
    </w:p>
    <w:p>
      <w:pPr>
        <w:ind w:left="360"/>
      </w:pPr>
      <w:r>
        <w:rPr>
          <w:b/>
        </w:rPr>
        <w:t xml:space="preserve">☐  </w:t>
      </w:r>
      <w:r>
        <w:t>Filled worksheet (Appendix B) as one PDF — every team</w:t>
      </w:r>
    </w:p>
    <w:p>
      <w:pPr>
        <w:ind w:left="360"/>
      </w:pPr>
      <w:r>
        <w:rPr>
          <w:b/>
        </w:rPr>
        <w:t xml:space="preserve">☐  </w:t>
      </w:r>
      <w:r>
        <w:t>Slides — Team 2 only, uploaded before class</w:t>
      </w:r>
    </w:p>
    <w:p>
      <w:pPr>
        <w:ind w:left="360"/>
      </w:pPr>
      <w:r>
        <w:rPr>
          <w:b/>
        </w:rPr>
        <w:t xml:space="preserve">☐  </w:t>
      </w:r>
      <w:r>
        <w:t>AI reflection (below) answered at the end of the worksheet</w:t>
      </w:r>
    </w:p>
    <w:p>
      <w:pPr>
        <w:pStyle w:val="Heading2"/>
      </w:pPr>
      <w:r>
        <w:t>How you'll be graded</w:t>
      </w:r>
    </w:p>
    <w:p>
      <w:r>
        <w:t>Rubric applies to the presenting team; non-presenting teams earn participation credit for a complete, good-faith worksheet.</w:t>
      </w:r>
    </w:p>
    <w:tbl>
      <w:tblPr>
        <w:tblStyle w:val="TableGrid"/>
        <w:tblW w:type="auto" w:w="0"/>
        <w:tblLook w:firstColumn="1" w:firstRow="1" w:lastColumn="0" w:lastRow="0" w:noHBand="0" w:noVBand="1" w:val="04A0"/>
      </w:tblPr>
      <w:tblGrid>
        <w:gridCol w:w="3312"/>
        <w:gridCol w:w="3312"/>
        <w:gridCol w:w="3312"/>
      </w:tblGrid>
      <w:tr>
        <w:tc>
          <w:tcPr>
            <w:tcW w:type="dxa" w:w="3312"/>
          </w:tcPr>
          <w:p>
            <w:r>
              <w:rPr>
                <w:b/>
                <w:sz w:val="19"/>
              </w:rPr>
            </w:r>
            <w:r>
              <w:rPr>
                <w:b/>
                <w:sz w:val="19"/>
              </w:rPr>
              <w:t>Category</w:t>
            </w:r>
          </w:p>
        </w:tc>
        <w:tc>
          <w:tcPr>
            <w:tcW w:type="dxa" w:w="3312"/>
          </w:tcPr>
          <w:p>
            <w:r>
              <w:rPr>
                <w:b/>
                <w:sz w:val="19"/>
              </w:rPr>
            </w:r>
            <w:r>
              <w:rPr>
                <w:b/>
                <w:sz w:val="19"/>
              </w:rPr>
              <w:t>Weight</w:t>
            </w:r>
          </w:p>
        </w:tc>
        <w:tc>
          <w:tcPr>
            <w:tcW w:type="dxa" w:w="3312"/>
          </w:tcPr>
          <w:p>
            <w:r>
              <w:rPr>
                <w:b/>
                <w:sz w:val="19"/>
              </w:rPr>
            </w:r>
            <w:r>
              <w:rPr>
                <w:b/>
                <w:sz w:val="19"/>
              </w:rPr>
              <w:t>Strong work looks like</w:t>
            </w:r>
          </w:p>
        </w:tc>
      </w:tr>
      <w:tr>
        <w:tc>
          <w:tcPr>
            <w:tcW w:type="dxa" w:w="3312"/>
          </w:tcPr>
          <w:p>
            <w:r>
              <w:rPr>
                <w:sz w:val="19"/>
              </w:rPr>
            </w:r>
            <w:r>
              <w:rPr>
                <w:sz w:val="19"/>
              </w:rPr>
              <w:t>Case analysis &amp; recommendation</w:t>
            </w:r>
          </w:p>
        </w:tc>
        <w:tc>
          <w:tcPr>
            <w:tcW w:type="dxa" w:w="3312"/>
          </w:tcPr>
          <w:p>
            <w:r>
              <w:rPr>
                <w:sz w:val="19"/>
              </w:rPr>
            </w:r>
            <w:r>
              <w:rPr>
                <w:sz w:val="19"/>
              </w:rPr>
              <w:t>35%</w:t>
            </w:r>
          </w:p>
        </w:tc>
        <w:tc>
          <w:tcPr>
            <w:tcW w:type="dxa" w:w="3312"/>
          </w:tcPr>
          <w:p>
            <w:r>
              <w:rPr>
                <w:sz w:val="19"/>
              </w:rPr>
            </w:r>
            <w:r>
              <w:rPr>
                <w:sz w:val="19"/>
              </w:rPr>
              <w:t>Each method applied concretely to the restaurant decline (named informants, named questions), not defined in the abstract; the recommended sequence is argued from what each method can rule in or out</w:t>
            </w:r>
          </w:p>
        </w:tc>
      </w:tr>
      <w:tr>
        <w:tc>
          <w:tcPr>
            <w:tcW w:type="dxa" w:w="3312"/>
          </w:tcPr>
          <w:p>
            <w:r>
              <w:rPr>
                <w:sz w:val="19"/>
              </w:rPr>
            </w:r>
            <w:r>
              <w:rPr>
                <w:sz w:val="19"/>
              </w:rPr>
              <w:t>Concept accuracy</w:t>
            </w:r>
          </w:p>
        </w:tc>
        <w:tc>
          <w:tcPr>
            <w:tcW w:type="dxa" w:w="3312"/>
          </w:tcPr>
          <w:p>
            <w:r>
              <w:rPr>
                <w:sz w:val="19"/>
              </w:rPr>
            </w:r>
            <w:r>
              <w:rPr>
                <w:sz w:val="19"/>
              </w:rPr>
              <w:t>25%</w:t>
            </w:r>
          </w:p>
        </w:tc>
        <w:tc>
          <w:tcPr>
            <w:tcW w:type="dxa" w:w="3312"/>
          </w:tcPr>
          <w:p>
            <w:r>
              <w:rPr>
                <w:sz w:val="19"/>
              </w:rPr>
            </w:r>
            <w:r>
              <w:rPr>
                <w:sz w:val="19"/>
              </w:rPr>
              <w:t>Methods match the textbook's definitions (Ch. 4 &amp; 6); exploratory vs. descriptive vs. causal roles kept straight; projective techniques and experience surveys not confused with focus groups</w:t>
            </w:r>
          </w:p>
        </w:tc>
      </w:tr>
      <w:tr>
        <w:tc>
          <w:tcPr>
            <w:tcW w:type="dxa" w:w="3312"/>
          </w:tcPr>
          <w:p>
            <w:r>
              <w:rPr>
                <w:sz w:val="19"/>
              </w:rPr>
            </w:r>
            <w:r>
              <w:rPr>
                <w:sz w:val="19"/>
              </w:rPr>
              <w:t>Teaching the class</w:t>
            </w:r>
          </w:p>
        </w:tc>
        <w:tc>
          <w:tcPr>
            <w:tcW w:type="dxa" w:w="3312"/>
          </w:tcPr>
          <w:p>
            <w:r>
              <w:rPr>
                <w:sz w:val="19"/>
              </w:rPr>
            </w:r>
            <w:r>
              <w:rPr>
                <w:sz w:val="19"/>
              </w:rPr>
              <w:t>20%</w:t>
            </w:r>
          </w:p>
        </w:tc>
        <w:tc>
          <w:tcPr>
            <w:tcW w:type="dxa" w:w="3312"/>
          </w:tcPr>
          <w:p>
            <w:r>
              <w:rPr>
                <w:sz w:val="19"/>
              </w:rPr>
            </w:r>
            <w:r>
              <w:rPr>
                <w:sz w:val="19"/>
              </w:rPr>
              <w:t xml:space="preserve">Presentation teaches the </w:t>
            </w:r>
            <w:r>
              <w:rPr>
                <w:i/>
                <w:sz w:val="19"/>
              </w:rPr>
              <w:t>choice logic</w:t>
            </w:r>
            <w:r>
              <w:rPr>
                <w:sz w:val="19"/>
              </w:rPr>
              <w:t xml:space="preserve"> between methods and names the confusable pairs, with a discussion question for the class</w:t>
            </w:r>
          </w:p>
        </w:tc>
      </w:tr>
      <w:tr>
        <w:tc>
          <w:tcPr>
            <w:tcW w:type="dxa" w:w="3312"/>
          </w:tcPr>
          <w:p>
            <w:r>
              <w:rPr>
                <w:sz w:val="19"/>
              </w:rPr>
            </w:r>
            <w:r>
              <w:rPr>
                <w:sz w:val="19"/>
              </w:rPr>
              <w:t>Slides &amp; delivery</w:t>
            </w:r>
          </w:p>
        </w:tc>
        <w:tc>
          <w:tcPr>
            <w:tcW w:type="dxa" w:w="3312"/>
          </w:tcPr>
          <w:p>
            <w:r>
              <w:rPr>
                <w:sz w:val="19"/>
              </w:rPr>
            </w:r>
            <w:r>
              <w:rPr>
                <w:sz w:val="19"/>
              </w:rPr>
              <w:t>10%</w:t>
            </w:r>
          </w:p>
        </w:tc>
        <w:tc>
          <w:tcPr>
            <w:tcW w:type="dxa" w:w="3312"/>
          </w:tcPr>
          <w:p>
            <w:r>
              <w:rPr>
                <w:sz w:val="19"/>
              </w:rPr>
            </w:r>
            <w:r>
              <w:rPr>
                <w:sz w:val="19"/>
              </w:rPr>
              <w:t>10–15 minutes, clear slides, professor-role — teaching the case, not reading it</w:t>
            </w:r>
          </w:p>
        </w:tc>
      </w:tr>
      <w:tr>
        <w:tc>
          <w:tcPr>
            <w:tcW w:type="dxa" w:w="3312"/>
          </w:tcPr>
          <w:p>
            <w:r>
              <w:rPr>
                <w:sz w:val="19"/>
              </w:rPr>
            </w:r>
            <w:r>
              <w:rPr>
                <w:sz w:val="19"/>
              </w:rPr>
              <w:t>Process &amp; AI reflection</w:t>
            </w:r>
          </w:p>
        </w:tc>
        <w:tc>
          <w:tcPr>
            <w:tcW w:type="dxa" w:w="3312"/>
          </w:tcPr>
          <w:p>
            <w:r>
              <w:rPr>
                <w:sz w:val="19"/>
              </w:rPr>
            </w:r>
            <w:r>
              <w:rPr>
                <w:sz w:val="19"/>
              </w:rPr>
              <w:t>10%</w:t>
            </w:r>
          </w:p>
        </w:tc>
        <w:tc>
          <w:tcPr>
            <w:tcW w:type="dxa" w:w="3312"/>
          </w:tcPr>
          <w:p>
            <w:r>
              <w:rPr>
                <w:sz w:val="19"/>
              </w:rPr>
            </w:r>
            <w:r>
              <w:rPr>
                <w:sz w:val="19"/>
              </w:rPr>
              <w:t>Human-first draft documented; the four reflection prompts answered specifically, not generically</w:t>
            </w:r>
          </w:p>
        </w:tc>
      </w:tr>
    </w:tbl>
    <w:p/>
    <w:p>
      <w:pPr>
        <w:pStyle w:val="Heading2"/>
      </w:pPr>
      <w:r>
        <w:t>AI reflection (required)</w:t>
      </w:r>
    </w:p>
    <w:p>
      <w:r>
        <w:rPr>
          <w:b/>
        </w:rPr>
        <w:t>Human first.</w:t>
      </w:r>
      <w:r>
        <w:t xml:space="preserve"> Draft or plan this assignment yourselves before any AI touches it. That order is the point: it is the only way to see what AI actually adds — or quietly subtracts. Then use AI to improve your draft, and answer the four prompts below (2–4 sentences each, specific to THIS assignment):</w:t>
      </w:r>
    </w:p>
    <w:p>
      <w:r>
        <w:t>(a) The most important change we made after using AI was…</w:t>
      </w:r>
    </w:p>
    <w:p>
      <w:r>
        <w:t>(b) We accepted this change because…</w:t>
      </w:r>
    </w:p>
    <w:p>
      <w:r>
        <w:t>(c) We rejected or substantially revised the AI suggestion that…</w:t>
      </w:r>
    </w:p>
    <w:p>
      <w:r>
        <w:t>(d) One uncertainty or question that remains is…</w:t>
      </w:r>
    </w:p>
    <w:p>
      <w:r>
        <w:t>List the tools you used and for what. Generic answers ("AI helped us improve clarity") score zero on this category; name the actual change.</w:t>
      </w:r>
    </w:p>
    <w:p>
      <w:r>
        <w:br w:type="page"/>
      </w:r>
    </w:p>
    <w:p>
      <w:pPr>
        <w:pStyle w:val="Heading2"/>
      </w:pPr>
      <w:r>
        <w:t>Appendix A — The case</w:t>
      </w:r>
    </w:p>
    <w:p>
      <w:r>
        <w:t>A chain of 43 Italian restaurants in the Midwest has experienced a gradual sales decline, starting about a year ago. You have been asked to determine the cause of the decline. Explain how you could use each of the following methods to figure out what's going on. Obtain information about your assigned method from your textbook (primarily Chapters 4 and 6).</w:t>
      </w:r>
    </w:p>
    <w:p>
      <w:pPr>
        <w:pStyle w:val="ListNumber"/>
      </w:pPr>
      <w:r>
        <w:t>Secondary data analysis</w:t>
      </w:r>
    </w:p>
    <w:p>
      <w:pPr>
        <w:pStyle w:val="ListNumber"/>
      </w:pPr>
      <w:r>
        <w:t>Experience survey</w:t>
      </w:r>
    </w:p>
    <w:p>
      <w:pPr>
        <w:pStyle w:val="ListNumber"/>
      </w:pPr>
      <w:r>
        <w:t>Focus group</w:t>
      </w:r>
    </w:p>
    <w:p>
      <w:pPr>
        <w:pStyle w:val="ListNumber"/>
      </w:pPr>
      <w:r>
        <w:t>In-depth interview</w:t>
      </w:r>
    </w:p>
    <w:p>
      <w:pPr>
        <w:pStyle w:val="ListNumber"/>
      </w:pPr>
      <w:r>
        <w:t>Projective techniques</w:t>
      </w:r>
    </w:p>
    <w:p>
      <w:pPr>
        <w:pStyle w:val="ListNumber"/>
      </w:pPr>
      <w:r>
        <w:t>Observation</w:t>
      </w:r>
    </w:p>
    <w:p>
      <w:pPr>
        <w:pStyle w:val="ListNumber"/>
      </w:pPr>
      <w:r>
        <w:t>Experiment</w:t>
      </w:r>
    </w:p>
    <w:p>
      <w:pPr>
        <w:pStyle w:val="Heading2"/>
      </w:pPr>
      <w:r>
        <w:t>Appendix B — Worksheet (fill this out)</w:t>
      </w:r>
    </w:p>
    <w:p>
      <w:pPr>
        <w:sectPr>
          <w:pgSz w:w="12240" w:h="15840"/>
          <w:pgMar w:top="1008" w:right="1152" w:bottom="1008" w:left="1152" w:header="720" w:footer="720" w:gutter="0"/>
          <w:cols w:space="720"/>
          <w:docGrid w:linePitch="360"/>
        </w:sectPr>
      </w:pPr>
    </w:p>
    <w:tbl>
      <w:tblPr>
        <w:tblStyle w:val="TableGrid"/>
        <w:tblW w:type="auto" w:w="0"/>
        <w:tblLook w:firstColumn="1" w:firstRow="1" w:lastColumn="0" w:lastRow="0" w:noHBand="0" w:noVBand="1" w:val="04A0"/>
      </w:tblPr>
      <w:tblGrid>
        <w:gridCol w:w="4704"/>
        <w:gridCol w:w="4704"/>
        <w:gridCol w:w="4704"/>
      </w:tblGrid>
      <w:tr>
        <w:tc>
          <w:tcPr>
            <w:tcW w:type="dxa" w:w="4704"/>
          </w:tcPr>
          <w:p>
            <w:r>
              <w:rPr>
                <w:b/>
                <w:sz w:val="18"/>
              </w:rPr>
            </w:r>
            <w:r>
              <w:rPr>
                <w:b/>
                <w:sz w:val="18"/>
              </w:rPr>
              <w:t>Method</w:t>
            </w:r>
          </w:p>
        </w:tc>
        <w:tc>
          <w:tcPr>
            <w:tcW w:type="dxa" w:w="4704"/>
          </w:tcPr>
          <w:p>
            <w:r>
              <w:rPr>
                <w:b/>
                <w:sz w:val="18"/>
              </w:rPr>
            </w:r>
            <w:r>
              <w:rPr>
                <w:b/>
                <w:sz w:val="18"/>
              </w:rPr>
              <w:t>How you would use it to diagnose the sales decline (who, about what, expecting to learn what)</w:t>
            </w:r>
          </w:p>
        </w:tc>
        <w:tc>
          <w:tcPr>
            <w:tcW w:type="dxa" w:w="4704"/>
          </w:tcPr>
          <w:p>
            <w:r>
              <w:rPr>
                <w:b/>
                <w:sz w:val="18"/>
              </w:rPr>
            </w:r>
            <w:r>
              <w:rPr>
                <w:b/>
                <w:sz w:val="18"/>
              </w:rPr>
              <w:t>Key limitation for THIS problem</w:t>
            </w:r>
          </w:p>
        </w:tc>
      </w:tr>
      <w:tr>
        <w:tc>
          <w:tcPr>
            <w:tcW w:type="dxa" w:w="4704"/>
          </w:tcPr>
          <w:p>
            <w:r>
              <w:rPr>
                <w:sz w:val="18"/>
              </w:rPr>
            </w:r>
            <w:r>
              <w:rPr>
                <w:sz w:val="18"/>
              </w:rPr>
              <w:t>Secondary data analysis</w:t>
            </w:r>
          </w:p>
        </w:tc>
        <w:tc>
          <w:tcPr>
            <w:tcW w:type="dxa" w:w="4704"/>
          </w:tcPr>
          <w:p>
            <w:r>
              <w:rPr>
                <w:sz w:val="18"/>
              </w:rPr>
            </w:r>
          </w:p>
        </w:tc>
        <w:tc>
          <w:tcPr>
            <w:tcW w:type="dxa" w:w="4704"/>
          </w:tcPr>
          <w:p>
            <w:r>
              <w:rPr>
                <w:sz w:val="18"/>
              </w:rPr>
            </w:r>
          </w:p>
        </w:tc>
      </w:tr>
      <w:tr>
        <w:tc>
          <w:tcPr>
            <w:tcW w:type="dxa" w:w="4704"/>
          </w:tcPr>
          <w:p>
            <w:r>
              <w:rPr>
                <w:sz w:val="18"/>
              </w:rPr>
            </w:r>
            <w:r>
              <w:rPr>
                <w:sz w:val="18"/>
              </w:rPr>
              <w:t>Experience survey</w:t>
            </w:r>
          </w:p>
        </w:tc>
        <w:tc>
          <w:tcPr>
            <w:tcW w:type="dxa" w:w="4704"/>
          </w:tcPr>
          <w:p>
            <w:r>
              <w:rPr>
                <w:sz w:val="18"/>
              </w:rPr>
            </w:r>
          </w:p>
        </w:tc>
        <w:tc>
          <w:tcPr>
            <w:tcW w:type="dxa" w:w="4704"/>
          </w:tcPr>
          <w:p>
            <w:r>
              <w:rPr>
                <w:sz w:val="18"/>
              </w:rPr>
            </w:r>
          </w:p>
        </w:tc>
      </w:tr>
      <w:tr>
        <w:tc>
          <w:tcPr>
            <w:tcW w:type="dxa" w:w="4704"/>
          </w:tcPr>
          <w:p>
            <w:r>
              <w:rPr>
                <w:sz w:val="18"/>
              </w:rPr>
            </w:r>
            <w:r>
              <w:rPr>
                <w:sz w:val="18"/>
              </w:rPr>
              <w:t>Focus group</w:t>
            </w:r>
          </w:p>
        </w:tc>
        <w:tc>
          <w:tcPr>
            <w:tcW w:type="dxa" w:w="4704"/>
          </w:tcPr>
          <w:p>
            <w:r>
              <w:rPr>
                <w:sz w:val="18"/>
              </w:rPr>
            </w:r>
          </w:p>
        </w:tc>
        <w:tc>
          <w:tcPr>
            <w:tcW w:type="dxa" w:w="4704"/>
          </w:tcPr>
          <w:p>
            <w:r>
              <w:rPr>
                <w:sz w:val="18"/>
              </w:rPr>
            </w:r>
          </w:p>
        </w:tc>
      </w:tr>
      <w:tr>
        <w:tc>
          <w:tcPr>
            <w:tcW w:type="dxa" w:w="4704"/>
          </w:tcPr>
          <w:p>
            <w:r>
              <w:rPr>
                <w:sz w:val="18"/>
              </w:rPr>
            </w:r>
            <w:r>
              <w:rPr>
                <w:sz w:val="18"/>
              </w:rPr>
              <w:t>In-depth interview</w:t>
            </w:r>
          </w:p>
        </w:tc>
        <w:tc>
          <w:tcPr>
            <w:tcW w:type="dxa" w:w="4704"/>
          </w:tcPr>
          <w:p>
            <w:r>
              <w:rPr>
                <w:sz w:val="18"/>
              </w:rPr>
            </w:r>
          </w:p>
        </w:tc>
        <w:tc>
          <w:tcPr>
            <w:tcW w:type="dxa" w:w="4704"/>
          </w:tcPr>
          <w:p>
            <w:r>
              <w:rPr>
                <w:sz w:val="18"/>
              </w:rPr>
            </w:r>
          </w:p>
        </w:tc>
      </w:tr>
      <w:tr>
        <w:tc>
          <w:tcPr>
            <w:tcW w:type="dxa" w:w="4704"/>
          </w:tcPr>
          <w:p>
            <w:r>
              <w:rPr>
                <w:sz w:val="18"/>
              </w:rPr>
            </w:r>
            <w:r>
              <w:rPr>
                <w:sz w:val="18"/>
              </w:rPr>
              <w:t>Projective techniques</w:t>
            </w:r>
          </w:p>
        </w:tc>
        <w:tc>
          <w:tcPr>
            <w:tcW w:type="dxa" w:w="4704"/>
          </w:tcPr>
          <w:p>
            <w:r>
              <w:rPr>
                <w:sz w:val="18"/>
              </w:rPr>
            </w:r>
          </w:p>
        </w:tc>
        <w:tc>
          <w:tcPr>
            <w:tcW w:type="dxa" w:w="4704"/>
          </w:tcPr>
          <w:p>
            <w:r>
              <w:rPr>
                <w:sz w:val="18"/>
              </w:rPr>
            </w:r>
          </w:p>
        </w:tc>
      </w:tr>
      <w:tr>
        <w:tc>
          <w:tcPr>
            <w:tcW w:type="dxa" w:w="4704"/>
          </w:tcPr>
          <w:p>
            <w:r>
              <w:rPr>
                <w:sz w:val="18"/>
              </w:rPr>
            </w:r>
            <w:r>
              <w:rPr>
                <w:sz w:val="18"/>
              </w:rPr>
              <w:t>Observation</w:t>
            </w:r>
          </w:p>
        </w:tc>
        <w:tc>
          <w:tcPr>
            <w:tcW w:type="dxa" w:w="4704"/>
          </w:tcPr>
          <w:p>
            <w:r>
              <w:rPr>
                <w:sz w:val="18"/>
              </w:rPr>
            </w:r>
          </w:p>
        </w:tc>
        <w:tc>
          <w:tcPr>
            <w:tcW w:type="dxa" w:w="4704"/>
          </w:tcPr>
          <w:p>
            <w:r>
              <w:rPr>
                <w:sz w:val="18"/>
              </w:rPr>
            </w:r>
          </w:p>
        </w:tc>
      </w:tr>
      <w:tr>
        <w:tc>
          <w:tcPr>
            <w:tcW w:type="dxa" w:w="4704"/>
          </w:tcPr>
          <w:p>
            <w:r>
              <w:rPr>
                <w:sz w:val="18"/>
              </w:rPr>
            </w:r>
            <w:r>
              <w:rPr>
                <w:sz w:val="18"/>
              </w:rPr>
              <w:t>Experiment</w:t>
            </w:r>
          </w:p>
        </w:tc>
        <w:tc>
          <w:tcPr>
            <w:tcW w:type="dxa" w:w="4704"/>
          </w:tcPr>
          <w:p>
            <w:r>
              <w:rPr>
                <w:sz w:val="18"/>
              </w:rPr>
            </w:r>
          </w:p>
        </w:tc>
        <w:tc>
          <w:tcPr>
            <w:tcW w:type="dxa" w:w="4704"/>
          </w:tcPr>
          <w:p>
            <w:r>
              <w:rPr>
                <w:sz w:val="18"/>
              </w:rPr>
            </w:r>
          </w:p>
        </w:tc>
      </w:tr>
    </w:tbl>
    <w:p/>
    <w:p>
      <w:pPr>
        <w:sectPr>
          <w:pgSz w:w="15840" w:h="12240" w:orient="landscape"/>
          <w:pgMar w:top="1008" w:right="864" w:bottom="1008" w:left="864" w:header="720" w:footer="720" w:gutter="0"/>
          <w:cols w:space="720"/>
          <w:docGrid w:linePitch="360"/>
        </w:sectPr>
      </w:pPr>
    </w:p>
    <w:p>
      <w:r>
        <w:rPr>
          <w:b/>
        </w:rPr>
        <w:t>Which method(s) would you start with, and why (2–4 sentences):</w:t>
      </w:r>
    </w:p>
    <w:p>
      <w:r>
        <w:rPr>
          <w:b/>
        </w:rPr>
        <w:t>AI reflection (a)–(d) + tools used:</w:t>
      </w:r>
    </w:p>
    <w:tbl>
      <w:tblPr>
        <w:tblStyle w:val="TableGrid"/>
        <w:tblW w:type="auto" w:w="0"/>
        <w:tblLook w:firstColumn="1" w:firstRow="1" w:lastColumn="0" w:lastRow="0" w:noHBand="0" w:noVBand="1" w:val="04A0"/>
      </w:tblPr>
      <w:tblGrid>
        <w:gridCol w:w="4968"/>
        <w:gridCol w:w="4968"/>
      </w:tblGrid>
      <w:tr>
        <w:tc>
          <w:tcPr>
            <w:tcW w:type="dxa" w:w="4968"/>
          </w:tcPr>
          <w:p>
            <w:r>
              <w:rPr>
                <w:b/>
                <w:sz w:val="19"/>
              </w:rPr>
            </w:r>
            <w:r>
              <w:rPr>
                <w:b/>
                <w:sz w:val="19"/>
              </w:rPr>
              <w:t>Prompt</w:t>
            </w:r>
          </w:p>
        </w:tc>
        <w:tc>
          <w:tcPr>
            <w:tcW w:type="dxa" w:w="4968"/>
          </w:tcPr>
          <w:p>
            <w:r>
              <w:rPr>
                <w:b/>
                <w:sz w:val="19"/>
              </w:rPr>
            </w:r>
            <w:r>
              <w:rPr>
                <w:b/>
                <w:sz w:val="19"/>
              </w:rPr>
              <w:t>Answer</w:t>
            </w:r>
          </w:p>
        </w:tc>
      </w:tr>
      <w:tr>
        <w:tc>
          <w:tcPr>
            <w:tcW w:type="dxa" w:w="4968"/>
          </w:tcPr>
          <w:p>
            <w:r>
              <w:rPr>
                <w:sz w:val="19"/>
              </w:rPr>
            </w:r>
            <w:r>
              <w:rPr>
                <w:sz w:val="19"/>
              </w:rPr>
              <w:t>(a) Most important change after AI</w:t>
            </w:r>
          </w:p>
        </w:tc>
        <w:tc>
          <w:tcPr>
            <w:tcW w:type="dxa" w:w="4968"/>
          </w:tcPr>
          <w:p>
            <w:r>
              <w:rPr>
                <w:sz w:val="19"/>
              </w:rPr>
            </w:r>
          </w:p>
        </w:tc>
      </w:tr>
      <w:tr>
        <w:tc>
          <w:tcPr>
            <w:tcW w:type="dxa" w:w="4968"/>
          </w:tcPr>
          <w:p>
            <w:r>
              <w:rPr>
                <w:sz w:val="19"/>
              </w:rPr>
            </w:r>
            <w:r>
              <w:rPr>
                <w:sz w:val="19"/>
              </w:rPr>
              <w:t>(b) Why we accepted it</w:t>
            </w:r>
          </w:p>
        </w:tc>
        <w:tc>
          <w:tcPr>
            <w:tcW w:type="dxa" w:w="4968"/>
          </w:tcPr>
          <w:p>
            <w:r>
              <w:rPr>
                <w:sz w:val="19"/>
              </w:rPr>
            </w:r>
          </w:p>
        </w:tc>
      </w:tr>
      <w:tr>
        <w:tc>
          <w:tcPr>
            <w:tcW w:type="dxa" w:w="4968"/>
          </w:tcPr>
          <w:p>
            <w:r>
              <w:rPr>
                <w:sz w:val="19"/>
              </w:rPr>
            </w:r>
            <w:r>
              <w:rPr>
                <w:sz w:val="19"/>
              </w:rPr>
              <w:t>(c) AI suggestion we rejected/revised</w:t>
            </w:r>
          </w:p>
        </w:tc>
        <w:tc>
          <w:tcPr>
            <w:tcW w:type="dxa" w:w="4968"/>
          </w:tcPr>
          <w:p>
            <w:r>
              <w:rPr>
                <w:sz w:val="19"/>
              </w:rPr>
            </w:r>
          </w:p>
        </w:tc>
      </w:tr>
      <w:tr>
        <w:tc>
          <w:tcPr>
            <w:tcW w:type="dxa" w:w="4968"/>
          </w:tcPr>
          <w:p>
            <w:r>
              <w:rPr>
                <w:sz w:val="19"/>
              </w:rPr>
            </w:r>
            <w:r>
              <w:rPr>
                <w:sz w:val="19"/>
              </w:rPr>
              <w:t>(d) Remaining uncertainty</w:t>
            </w:r>
          </w:p>
        </w:tc>
        <w:tc>
          <w:tcPr>
            <w:tcW w:type="dxa" w:w="4968"/>
          </w:tcPr>
          <w:p>
            <w:r>
              <w:rPr>
                <w:sz w:val="19"/>
              </w:rPr>
            </w:r>
          </w:p>
        </w:tc>
      </w:tr>
      <w:tr>
        <w:tc>
          <w:tcPr>
            <w:tcW w:type="dxa" w:w="4968"/>
          </w:tcPr>
          <w:p>
            <w:r>
              <w:rPr>
                <w:sz w:val="19"/>
              </w:rPr>
            </w:r>
            <w:r>
              <w:rPr>
                <w:sz w:val="19"/>
              </w:rPr>
              <w:t>Tools used, and for what</w:t>
            </w:r>
          </w:p>
        </w:tc>
        <w:tc>
          <w:tcPr>
            <w:tcW w:type="dxa" w:w="4968"/>
          </w:tcPr>
          <w:p>
            <w:r>
              <w:rPr>
                <w:sz w:val="19"/>
              </w:rPr>
            </w:r>
          </w:p>
        </w:tc>
      </w:tr>
    </w:tbl>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212B36"/>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B5E4B"/>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B5E4B"/>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