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3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Participation component — presenting team (Team 3) scored on the rubric below; every team submits the filled worksheet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Team 3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3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Cases 1 &amp; 3 present together — this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3:</w:t>
      </w:r>
      <w:r>
        <w:t xml:space="preserve"> build slides that teach the typing logic and the RQs the class is most likely to get wrong — 10–15 minutes, professor-role.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3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>Rubric applies to the presenting team; non-presenting teams earn participation credit for a complete, good-faith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Teaching the class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Presentation teaches a </w:t>
            </w:r>
            <w:r>
              <w:rPr>
                <w:i/>
                <w:sz w:val="19"/>
              </w:rPr>
              <w:t>decision rule</w:t>
            </w:r>
            <w:r>
              <w:rPr>
                <w:sz w:val="19"/>
              </w:rPr>
              <w:t xml:space="preserve"> for typing RQs and spends its time on the confusable cases, with a discussion question for the class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Slides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10–15 minutes, clear slides, professor-role — teaching the case, not reading 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