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4)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Oct 14, start of class (worksheet, all teams); Team 4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4 also uploads slides before class</w:t>
            </w:r>
          </w:p>
        </w:tc>
      </w:tr>
    </w:tbl>
    <w:p/>
    <w:p>
      <w:r>
        <w:rPr>
          <w:b/>
        </w:rPr>
        <w:t>Where this fits:</w:t>
      </w:r>
      <w:r>
        <w:t xml:space="preserve"> Lecture — Week 8 Monday, </w:t>
      </w:r>
      <w:r>
        <w:rPr>
          <w:i/>
        </w:rPr>
        <w:t>Descriptives + the data analysis plan</w:t>
      </w:r>
      <w:r>
        <w:t xml:space="preserve"> (watch the assigned pre-watch recording first) → Practice — Summit Point round </w:t>
      </w:r>
      <w:r>
        <w:rPr>
          <w:b/>
        </w:rPr>
        <w:t>r10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pPr>
        <w:pStyle w:val="ListNumber"/>
      </w:pPr>
      <w:r>
        <w:t>Read the case (Appendix A) individually, then discuss as a team before consulting AI.</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Fill the worksheet (Appendix B). </w:t>
      </w:r>
      <w:r>
        <w:rPr>
          <w:b/>
        </w:rPr>
        <w:t>Team 4:</w:t>
      </w:r>
      <w:r>
        <w:t xml:space="preserve"> build slides that teach the class the selection-bias logic behind each option — 10–15 minutes, professor-role.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4 only, uploaded before class</w:t>
      </w:r>
    </w:p>
    <w:p>
      <w:pPr>
        <w:ind w:left="360"/>
      </w:pPr>
      <w:r>
        <w:rPr>
          <w:b/>
        </w:rPr>
        <w:t xml:space="preserve">☐  </w:t>
      </w:r>
      <w:r>
        <w:t>AI reflection (below) answered at the end of the worksheet</w:t>
      </w:r>
    </w:p>
    <w:p>
      <w:pPr>
        <w:pStyle w:val="Heading2"/>
      </w:pPr>
      <w:r>
        <w:t>How you'll be graded</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Teaching the class</w:t>
            </w:r>
          </w:p>
        </w:tc>
        <w:tc>
          <w:tcPr>
            <w:tcW w:type="dxa" w:w="3312"/>
          </w:tcPr>
          <w:p>
            <w:r>
              <w:rPr>
                <w:sz w:val="19"/>
              </w:rPr>
            </w:r>
            <w:r>
              <w:rPr>
                <w:sz w:val="19"/>
              </w:rPr>
              <w:t>20%</w:t>
            </w:r>
          </w:p>
        </w:tc>
        <w:tc>
          <w:tcPr>
            <w:tcW w:type="dxa" w:w="3312"/>
          </w:tcPr>
          <w:p>
            <w:r>
              <w:rPr>
                <w:sz w:val="19"/>
              </w:rPr>
            </w:r>
            <w:r>
              <w:rPr>
                <w:sz w:val="19"/>
              </w:rPr>
              <w:t>Presentation teaches the class how response mechanisms filter the data before analysis begins, with a discussion question for the class</w:t>
            </w:r>
          </w:p>
        </w:tc>
      </w:tr>
      <w:tr>
        <w:tc>
          <w:tcPr>
            <w:tcW w:type="dxa" w:w="3312"/>
          </w:tcPr>
          <w:p>
            <w:r>
              <w:rPr>
                <w:sz w:val="19"/>
              </w:rPr>
            </w:r>
            <w:r>
              <w:rPr>
                <w:sz w:val="19"/>
              </w:rPr>
              <w:t>Slides &amp; delivery</w:t>
            </w:r>
          </w:p>
        </w:tc>
        <w:tc>
          <w:tcPr>
            <w:tcW w:type="dxa" w:w="3312"/>
          </w:tcPr>
          <w:p>
            <w:r>
              <w:rPr>
                <w:sz w:val="19"/>
              </w:rPr>
            </w:r>
            <w:r>
              <w:rPr>
                <w:sz w:val="19"/>
              </w:rPr>
              <w:t>10%</w:t>
            </w:r>
          </w:p>
        </w:tc>
        <w:tc>
          <w:tcPr>
            <w:tcW w:type="dxa" w:w="3312"/>
          </w:tcPr>
          <w:p>
            <w:r>
              <w:rPr>
                <w:sz w:val="19"/>
              </w:rPr>
            </w:r>
            <w:r>
              <w:rPr>
                <w:sz w:val="19"/>
              </w:rPr>
              <w:t>10–15 minutes, clear slides, professor-role — teaching the case, not reading it</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