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10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uploads slides to the separate 20-point Mini-Case Presentation team assignment before class</w:t>
            </w:r>
          </w:p>
        </w:tc>
      </w:tr>
    </w:tbl>
    <w:p/>
    <w:p>
      <w:r>
        <w:rPr>
          <w:b/>
        </w:rPr>
        <w:t>Two different things each week.</w:t>
      </w:r>
      <w:r>
        <w:t xml:space="preserve"> </w:t>
      </w:r>
      <w:r>
        <w:rPr>
          <w:i/>
        </w:rPr>
        <w:t>Everyone</w:t>
      </w:r>
      <w:r>
        <w:t xml:space="preserve"> writes up </w:t>
      </w:r>
      <w:r>
        <w:rPr>
          <w:i/>
        </w:rPr>
        <w:t>this</w:t>
      </w:r>
      <w:r>
        <w:t xml:space="preserve"> case. One team presents the case named in its Canvas group ("Team N presents Case N+1"); the group name never changes which write-up is due.</w:t>
      </w:r>
    </w:p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correctly, the RQ-typing half of problem definition and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 classify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and the </w:t>
      </w:r>
      <w:r>
        <w:rPr>
          <w:b/>
        </w:rPr>
        <w:t>Research Question Types handout</w:t>
      </w:r>
      <w:r>
        <w:t xml:space="preserve">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ind w:left="432" w:hanging="432"/>
      </w:pPr>
      <w:r>
        <w:t>1.</w:t>
        <w:tab/>
      </w: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ind w:left="432" w:hanging="432"/>
      </w:pPr>
      <w:r>
        <w:t>2.</w:t>
        <w:tab/>
      </w: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ind w:left="432" w:hanging="432"/>
      </w:pPr>
      <w:r>
        <w:t>3.</w:t>
        <w:tab/>
      </w: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ind w:left="432" w:hanging="432"/>
      </w:pPr>
      <w:r>
        <w:t>4.</w:t>
        <w:tab/>
      </w: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ind w:left="432" w:hanging="432"/>
      </w:pPr>
      <w:r>
        <w:t>5.</w:t>
        <w:tab/>
      </w: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ind w:left="432" w:hanging="432"/>
      </w:pPr>
      <w:r>
        <w:t>6.</w:t>
        <w:tab/>
      </w: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Two references, both in hand: (1) the </w:t>
      </w:r>
      <w:r>
        <w:rPr>
          <w:b/>
        </w:rPr>
        <w:t>Research Question Types handout</w:t>
      </w:r>
      <w:r>
        <w:t xml:space="preserve"> — Descriptive / Differences / Association and the decision rule (short form in Appendix C; the full handout is the download on this card and is attached on Canvas). </w:t>
      </w:r>
      <w:r>
        <w:rPr>
          <w:b/>
        </w:rPr>
        <w:t>Use it as the reference for typing the RQs: the textbook has no single chapter on the three types — it spreads them across Ch. 10–12 with the statistics.</w:t>
      </w:r>
      <w:r>
        <w:t xml:space="preserve"> You may attach the handout to the tutor. (2)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for how research questions follow from the research objectives; it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and the course's Research Question Types handout (Descriptive / Differences / Association, with the decision rule — the textbook has no single chapter on this) in front of me and may attach their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final exam,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(10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case, the chapter, and the RQ-types handout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 or the handout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