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双向认证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一次性口令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登录权限验证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服务端密码加密存储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建立会话机制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一、HTTPS协议的启用——双向认证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（1）启用HTTPS协议开启双向认证功能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1、生成服务器证书tomcat.keystore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keytool -genkey -v -alias tomcat -keyalg RSA -keystore f:\tomcatkeystore\tomcat.keystore -validity 36500</w:t>
      </w:r>
    </w:p>
    <w:p>
      <w:p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83125" cy="1871980"/>
            <wp:effectExtent l="0" t="0" r="1079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eastAsia="zh-CN"/>
        </w:rPr>
        <w:t>其中名字与姓氏必须为域名（</w:t>
      </w:r>
      <w:r>
        <w:rPr>
          <w:rFonts w:hint="eastAsia" w:ascii="宋体" w:hAnsi="宋体" w:eastAsia="宋体" w:cs="宋体"/>
          <w:lang w:val="en-US" w:eastAsia="zh-CN"/>
        </w:rPr>
        <w:t>localhost）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2、生成客户端client.p12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keytool -genkey -v -alias client1 -keyalg RSA -storetype PKCS12 -keysize 1024 -validity 365 -keystore "F:\tomcatkeystore\client1.p12"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683760" cy="1713230"/>
            <wp:effectExtent l="0" t="0" r="1016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376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将客户端p12证书格式导出成cer证书格式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keytool -export -alias client1 -storetype PKCS12 -keystore "F:\tomcatkeystore\client1.p12" -storepass tomcat -rfc -file "F:\tomcatkeystore\client1.cer"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4、将客户端cer导入服务器证书库，添加为一个信任证书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keytool -import -v -file f:\tomcatkeystore\client1.cer -keystore f:\tomcatkeystore\tomcat.keystore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311015" cy="1935480"/>
            <wp:effectExtent l="0" t="0" r="190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101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5、查看服务器的证书库，会发现有服务器和客户端两条证书条目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keytool -list -keystore f:\tomcatkeystore\tomcat.keystore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274185" cy="1362710"/>
            <wp:effectExtent l="0" t="0" r="825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6、让客户端信任服务器证书导出服务器证书为cer</w:t>
      </w:r>
    </w:p>
    <w:p>
      <w:p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keytool -keystore f:\tomcatkeystore\tomcat.keystore -export -alias tomcat -file f:\tomcatkeystore\tomcat.cer</w:t>
      </w:r>
    </w:p>
    <w:p>
      <w:p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bdr w:val="single" w:sz="4" w:space="0"/>
        </w:rPr>
        <w:drawing>
          <wp:inline distT="0" distB="0" distL="114300" distR="114300">
            <wp:extent cx="4006215" cy="925195"/>
            <wp:effectExtent l="0" t="0" r="1905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92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安装client.p12到个人，tomcat.cer到受信任的根证书颁发机构，如下图所示。（左是客户端证书，右是服务端证书）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drawing>
          <wp:inline distT="0" distB="0" distL="114300" distR="114300">
            <wp:extent cx="2564765" cy="2402840"/>
            <wp:effectExtent l="0" t="0" r="10795" b="50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72385" cy="2409190"/>
            <wp:effectExtent l="0" t="0" r="3175" b="1397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firstLine="42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配置tomcat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在tomcat目录下的conf/server.xml中开启HTTPS协议，将clientAuth设置为true，即开启双向认证，启用的是9527端口，添加服务器和客户端信任的证书，由于已经将客户端证书导入到了服务端中，所以一起只需用服务端证书一个即可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dr w:val="single" w:sz="4" w:space="0"/>
        </w:rPr>
        <w:drawing>
          <wp:inline distT="0" distB="0" distL="114300" distR="114300">
            <wp:extent cx="4879340" cy="125222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9340" cy="12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配置conf/web.xml，添加如下内容，开启SSL。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bdr w:val="single" w:sz="4" w:space="0"/>
        </w:rPr>
      </w:pPr>
      <w:r>
        <w:rPr>
          <w:rFonts w:hint="eastAsia" w:ascii="宋体" w:hAnsi="宋体" w:eastAsia="宋体" w:cs="宋体"/>
          <w:bdr w:val="single" w:sz="4" w:space="0"/>
        </w:rPr>
        <w:drawing>
          <wp:inline distT="0" distB="0" distL="114300" distR="114300">
            <wp:extent cx="5448300" cy="1247140"/>
            <wp:effectExtent l="0" t="0" r="762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配置完成后，如果访问http://localhost:9527会拒绝连接。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访问https://localhost:9527，结果如下，会提示确认客户端证书。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724400" cy="2534920"/>
            <wp:effectExtent l="0" t="0" r="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点击确定后，进入tomcat主页面，此时就完成了双向认证。</w:t>
      </w:r>
    </w:p>
    <w:p>
      <w:pPr>
        <w:widowControl w:val="0"/>
        <w:numPr>
          <w:ilvl w:val="0"/>
          <w:numId w:val="0"/>
        </w:numPr>
        <w:jc w:val="center"/>
      </w:pPr>
      <w:bookmarkStart w:id="0" w:name="_GoBack"/>
      <w:r>
        <w:rPr>
          <w:bdr w:val="single" w:sz="4" w:space="0"/>
        </w:rPr>
        <w:drawing>
          <wp:inline distT="0" distB="0" distL="114300" distR="114300">
            <wp:extent cx="4326255" cy="2321560"/>
            <wp:effectExtent l="0" t="0" r="19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二、一次性口令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登录界面采用二维码验证功能。</w:t>
      </w:r>
    </w:p>
    <w:p>
      <w:pPr>
        <w:widowControl w:val="0"/>
        <w:numPr>
          <w:ilvl w:val="0"/>
          <w:numId w:val="0"/>
        </w:numPr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5163185" cy="48577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18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三、登录权限认证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未登录情况下直接访问users目录下的loginSuccess.jsp页面时会拦截提示登录。</w:t>
      </w:r>
    </w:p>
    <w:p>
      <w:pPr>
        <w:widowControl w:val="0"/>
        <w:numPr>
          <w:ilvl w:val="0"/>
          <w:numId w:val="0"/>
        </w:numPr>
        <w:jc w:val="center"/>
        <w:rPr>
          <w:bdr w:val="single" w:sz="4" w:space="0"/>
        </w:rPr>
      </w:pPr>
    </w:p>
    <w:p>
      <w:pPr>
        <w:widowControl w:val="0"/>
        <w:numPr>
          <w:ilvl w:val="0"/>
          <w:numId w:val="0"/>
        </w:numPr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4514215" cy="923925"/>
            <wp:effectExtent l="0" t="0" r="12065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四、服务器端用户密码加密存储</w:t>
      </w:r>
    </w:p>
    <w:p>
      <w:pPr>
        <w:widowControl w:val="0"/>
        <w:numPr>
          <w:ilvl w:val="0"/>
          <w:numId w:val="0"/>
        </w:numPr>
        <w:jc w:val="center"/>
        <w:rPr>
          <w:bdr w:val="single" w:sz="4" w:space="0"/>
        </w:rPr>
      </w:pPr>
      <w:r>
        <w:rPr>
          <w:bdr w:val="single" w:sz="4" w:space="0"/>
        </w:rPr>
        <w:drawing>
          <wp:inline distT="0" distB="0" distL="114300" distR="114300">
            <wp:extent cx="4282440" cy="525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密码采用SHA256加密存储。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五、建立会话机制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登录成功后将用户信息保存到会话当中。</w:t>
      </w:r>
    </w:p>
    <w:p>
      <w:pPr>
        <w:widowControl w:val="0"/>
        <w:numPr>
          <w:ilvl w:val="0"/>
          <w:numId w:val="0"/>
        </w:numPr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4853305" cy="1341755"/>
            <wp:effectExtent l="0" t="0" r="8255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退出登录则清除会话中的用户信息。</w:t>
      </w:r>
    </w:p>
    <w:p>
      <w:pPr>
        <w:widowControl w:val="0"/>
        <w:numPr>
          <w:ilvl w:val="0"/>
          <w:numId w:val="0"/>
        </w:numPr>
        <w:jc w:val="center"/>
        <w:rPr>
          <w:rFonts w:hint="default" w:ascii="宋体" w:hAnsi="宋体" w:eastAsia="宋体" w:cs="宋体"/>
          <w:lang w:val="en-US" w:eastAsia="zh-CN"/>
        </w:rPr>
      </w:pPr>
      <w:r>
        <w:rPr>
          <w:bdr w:val="single" w:sz="4" w:space="0"/>
        </w:rPr>
        <w:drawing>
          <wp:inline distT="0" distB="0" distL="114300" distR="114300">
            <wp:extent cx="5082540" cy="656590"/>
            <wp:effectExtent l="0" t="0" r="7620" b="1397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0FA3BE"/>
    <w:multiLevelType w:val="singleLevel"/>
    <w:tmpl w:val="D80FA3BE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43A7CCB4"/>
    <w:multiLevelType w:val="singleLevel"/>
    <w:tmpl w:val="43A7CCB4"/>
    <w:lvl w:ilvl="0" w:tentative="0">
      <w:start w:val="3"/>
      <w:numFmt w:val="decimal"/>
      <w:suff w:val="nothing"/>
      <w:lvlText w:val="%1、"/>
      <w:lvlJc w:val="left"/>
    </w:lvl>
  </w:abstractNum>
  <w:abstractNum w:abstractNumId="2">
    <w:nsid w:val="6ED92501"/>
    <w:multiLevelType w:val="singleLevel"/>
    <w:tmpl w:val="6ED9250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355263"/>
    <w:rsid w:val="032605B3"/>
    <w:rsid w:val="06064784"/>
    <w:rsid w:val="0D341875"/>
    <w:rsid w:val="16DF5E3A"/>
    <w:rsid w:val="1CE16F60"/>
    <w:rsid w:val="21094868"/>
    <w:rsid w:val="22923446"/>
    <w:rsid w:val="252B502D"/>
    <w:rsid w:val="2EF7793C"/>
    <w:rsid w:val="2F3B6615"/>
    <w:rsid w:val="3465381E"/>
    <w:rsid w:val="350A3BD8"/>
    <w:rsid w:val="35584802"/>
    <w:rsid w:val="36DE02BC"/>
    <w:rsid w:val="3DC70D32"/>
    <w:rsid w:val="3E5B74E2"/>
    <w:rsid w:val="3F53403F"/>
    <w:rsid w:val="41D63FE2"/>
    <w:rsid w:val="46737A24"/>
    <w:rsid w:val="48B16ECE"/>
    <w:rsid w:val="4B025061"/>
    <w:rsid w:val="5359611A"/>
    <w:rsid w:val="60FC4562"/>
    <w:rsid w:val="6E0D3FF5"/>
    <w:rsid w:val="786820A7"/>
    <w:rsid w:val="79DC4A62"/>
    <w:rsid w:val="7AD63EC2"/>
    <w:rsid w:val="7B1D7DA4"/>
    <w:rsid w:val="7DB37838"/>
    <w:rsid w:val="7E1D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2020-12-24T02:34:00Z</dcterms:created>
  <dc:creator>lyf</dc:creator>
  <cp:lastModifiedBy>飞哥</cp:lastModifiedBy>
  <dcterms:modified xsi:type="dcterms:W3CDTF">2020-12-26T14:24:52Z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