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仿宋_GB2312" w:cs="Times New Roman"/>
          <w:color w:val="0000FF"/>
          <w:sz w:val="28"/>
        </w:rPr>
      </w:pPr>
    </w:p>
    <w:p>
      <w:pPr>
        <w:jc w:val="center"/>
        <w:rPr>
          <w:rFonts w:hint="default" w:ascii="Times New Roman" w:hAnsi="Times New Roman" w:eastAsia="仿宋_GB2312" w:cs="Times New Roman"/>
          <w:color w:val="0000FF"/>
          <w:sz w:val="28"/>
        </w:rPr>
      </w:pPr>
    </w:p>
    <w:p>
      <w:pPr>
        <w:jc w:val="center"/>
        <w:rPr>
          <w:rFonts w:hint="default" w:ascii="Times New Roman" w:hAnsi="Times New Roman" w:eastAsia="仿宋_GB2312" w:cs="Times New Roman"/>
          <w:color w:val="0000FF"/>
          <w:sz w:val="28"/>
        </w:rPr>
      </w:pPr>
    </w:p>
    <w:p>
      <w:pPr>
        <w:jc w:val="center"/>
        <w:rPr>
          <w:rFonts w:hint="default" w:ascii="Times New Roman" w:hAnsi="Times New Roman" w:eastAsia="仿宋_GB2312" w:cs="Times New Roman"/>
          <w:color w:val="0000FF"/>
          <w:sz w:val="28"/>
        </w:rPr>
      </w:pPr>
      <w:r>
        <w:rPr>
          <w:rFonts w:hint="default" w:ascii="Times New Roman" w:hAnsi="Times New Roman" w:eastAsia="仿宋_GB2312" w:cs="Times New Roman"/>
          <w:color w:val="0000FF"/>
          <w:sz w:val="28"/>
        </w:rPr>
        <w:drawing>
          <wp:inline distT="0" distB="0" distL="0" distR="0">
            <wp:extent cx="5262880" cy="1223010"/>
            <wp:effectExtent l="0" t="0" r="7620" b="8890"/>
            <wp:docPr id="247" name="图片 3" descr="校标 浅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3" descr="校标 浅底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color w:val="auto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color w:val="auto"/>
          <w:sz w:val="84"/>
          <w:szCs w:val="8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84"/>
          <w:szCs w:val="84"/>
          <w:lang w:val="en-US" w:eastAsia="zh-CN"/>
        </w:rPr>
        <w:t>计算机视觉与应用</w:t>
      </w:r>
    </w:p>
    <w:p>
      <w:pPr>
        <w:jc w:val="center"/>
        <w:rPr>
          <w:rFonts w:hint="default" w:ascii="Times New Roman" w:hAnsi="Times New Roman" w:eastAsia="宋体" w:cs="Times New Roman"/>
          <w:color w:val="auto"/>
          <w:sz w:val="84"/>
          <w:szCs w:val="8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84"/>
          <w:szCs w:val="84"/>
          <w:lang w:val="en-US" w:eastAsia="zh-CN"/>
        </w:rPr>
        <w:t>实践</w:t>
      </w:r>
    </w:p>
    <w:p>
      <w:pPr>
        <w:jc w:val="both"/>
        <w:rPr>
          <w:rFonts w:hint="default" w:ascii="Times New Roman" w:hAnsi="Times New Roman" w:eastAsia="宋体" w:cs="Times New Roman"/>
          <w:color w:val="auto"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练习</w:t>
      </w:r>
      <w:r>
        <w:rPr>
          <w:rFonts w:hint="eastAsia"/>
          <w:sz w:val="52"/>
          <w:szCs w:val="52"/>
          <w:lang w:val="en-US" w:eastAsia="zh-CN"/>
        </w:rPr>
        <w:t>2——LeNet-5在MNIST</w:t>
      </w:r>
    </w:p>
    <w:p>
      <w:pPr>
        <w:bidi w:val="0"/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数据集上的训练和测试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1649"/>
        <w:gridCol w:w="1694"/>
        <w:gridCol w:w="23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879" w:type="dxa"/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12"/>
                <w:sz w:val="32"/>
                <w:szCs w:val="32"/>
              </w:rPr>
              <w:t>姓  名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1649" w:type="dxa"/>
            <w:tcBorders>
              <w:bottom w:val="single" w:color="auto" w:sz="4" w:space="0"/>
            </w:tcBorders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楷体" w:cs="Times New Roman"/>
                <w:sz w:val="32"/>
                <w:szCs w:val="32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32"/>
                <w:szCs w:val="32"/>
                <w:lang w:val="en-US" w:eastAsia="zh-CN"/>
              </w:rPr>
              <w:t>林雅惠</w:t>
            </w:r>
          </w:p>
        </w:tc>
        <w:tc>
          <w:tcPr>
            <w:tcW w:w="1694" w:type="dxa"/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12"/>
                <w:sz w:val="32"/>
                <w:szCs w:val="32"/>
              </w:rPr>
              <w:t>学  号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2306" w:type="dxa"/>
            <w:tcBorders>
              <w:bottom w:val="single" w:color="auto" w:sz="4" w:space="0"/>
            </w:tcBorders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楷体" w:cs="Times New Roman"/>
                <w:sz w:val="32"/>
                <w:szCs w:val="32"/>
                <w:u w:val="single"/>
                <w:lang w:eastAsia="zh-CN"/>
              </w:rPr>
            </w:pPr>
            <w:r>
              <w:rPr>
                <w:rFonts w:hint="default" w:ascii="Times New Roman" w:hAnsi="Times New Roman" w:eastAsia="楷体" w:cs="Times New Roman"/>
                <w:sz w:val="32"/>
                <w:szCs w:val="32"/>
                <w:lang w:val="en-US" w:eastAsia="zh-CN"/>
              </w:rPr>
              <w:t xml:space="preserve">123106222874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879" w:type="dxa"/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12"/>
                <w:sz w:val="32"/>
                <w:szCs w:val="32"/>
              </w:rPr>
              <w:t>学  院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564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楷体_GB2312" w:cs="Times New Roman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32"/>
                <w:szCs w:val="32"/>
                <w:lang w:val="en-US" w:eastAsia="zh-CN"/>
              </w:rPr>
              <w:t>计算机科学与工程学院</w:t>
            </w:r>
          </w:p>
        </w:tc>
      </w:tr>
    </w:tbl>
    <w:p>
      <w:pPr>
        <w:spacing w:after="93" w:afterLines="30" w:line="360" w:lineRule="auto"/>
        <w:jc w:val="both"/>
        <w:rPr>
          <w:rFonts w:hint="default" w:ascii="Times New Roman" w:hAnsi="Times New Roman" w:eastAsia="楷体" w:cs="Times New Roman"/>
          <w:sz w:val="48"/>
          <w:szCs w:val="48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bCs/>
          <w:color w:val="auto"/>
          <w:spacing w:val="12"/>
          <w:kern w:val="0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pacing w:val="12"/>
          <w:kern w:val="0"/>
          <w:sz w:val="32"/>
          <w:szCs w:val="32"/>
          <w:lang w:val="en-US" w:eastAsia="zh-CN" w:bidi="ar-SA"/>
        </w:rPr>
        <w:t>2024年4月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12"/>
          <w:kern w:val="0"/>
          <w:sz w:val="32"/>
          <w:szCs w:val="32"/>
          <w:lang w:val="en-US" w:eastAsia="zh-CN" w:bidi="ar-SA"/>
        </w:rPr>
        <w:t>30</w:t>
      </w:r>
      <w:r>
        <w:rPr>
          <w:rFonts w:hint="default" w:ascii="Times New Roman" w:hAnsi="Times New Roman" w:eastAsia="宋体" w:cs="Times New Roman"/>
          <w:b/>
          <w:bCs/>
          <w:color w:val="auto"/>
          <w:spacing w:val="12"/>
          <w:kern w:val="0"/>
          <w:sz w:val="32"/>
          <w:szCs w:val="32"/>
          <w:lang w:val="en-US" w:eastAsia="zh-CN" w:bidi="ar-SA"/>
        </w:rPr>
        <w:t>日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color w:val="auto"/>
          <w:spacing w:val="12"/>
          <w:kern w:val="0"/>
          <w:sz w:val="32"/>
          <w:szCs w:val="32"/>
          <w:lang w:val="en-US" w:eastAsia="zh-CN" w:bidi="ar-SA"/>
        </w:rPr>
      </w:pPr>
    </w:p>
    <w:sdt>
      <w:sdt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d w:val="14746353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instrText xml:space="preserve"> HYPERLINK \l _Toc25765 </w:instrText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  <w:lang w:val="en-US" w:eastAsia="zh-CN"/>
            </w:rPr>
            <w:t xml:space="preserve">一、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实验原理及步骤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_Toc25765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instrText xml:space="preserve"> HYPERLINK \l _Toc5840 </w:instrText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  <w:lang w:val="en-US" w:eastAsia="zh-CN"/>
            </w:rPr>
            <w:t xml:space="preserve">二、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改进模型实现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_Toc5840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instrText xml:space="preserve"> HYPERLINK \l _Toc377 </w:instrText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2.1实验方法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_Toc377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instrText xml:space="preserve"> HYPERLINK \l _Toc21426 </w:instrText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2.1.1 LeNet模型类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_Toc21426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instrText xml:space="preserve"> HYPERLINK \l _Toc9565 </w:instrText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2.1.2 模型训练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_Toc9565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instrText xml:space="preserve"> HYPERLINK \l _Toc6790 </w:instrText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2.1.3 模型测试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_Toc6790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instrText xml:space="preserve"> HYPERLINK \l _Toc29436 </w:instrText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2.2实验结果与分析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_Toc29436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instrText xml:space="preserve"> HYPERLINK \l _Toc7804 </w:instrText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  <w:lang w:val="en-US" w:eastAsia="zh-CN"/>
            </w:rPr>
            <w:t xml:space="preserve">三、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Pytorch实现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_Toc7804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instrText xml:space="preserve"> HYPERLINK \l _Toc10055 </w:instrText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3.1实验方法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instrText xml:space="preserve"> HYPERLINK \l _Toc11573 </w:instrText>
          </w:r>
          <w:r>
            <w:rPr>
              <w:rFonts w:hint="eastAsia" w:ascii="宋体" w:hAnsi="宋体" w:eastAsia="宋体" w:cs="宋体"/>
              <w:bCs/>
              <w:spacing w:val="12"/>
              <w:kern w:val="0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3.2实验结果及分析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_Toc11573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jc w:val="both"/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 w:val="21"/>
              <w:szCs w:val="3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end"/>
          </w:r>
        </w:p>
      </w:sdtContent>
    </w:sdt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  <w:bookmarkStart w:id="10" w:name="_GoBack"/>
      <w:bookmarkEnd w:id="10"/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pStyle w:val="2"/>
        <w:numPr>
          <w:ilvl w:val="0"/>
          <w:numId w:val="0"/>
        </w:numPr>
        <w:spacing w:before="0" w:after="0" w:line="360" w:lineRule="auto"/>
        <w:ind w:leftChars="0"/>
        <w:rPr>
          <w:rFonts w:hint="default" w:ascii="Times New Roman" w:hAnsi="Times New Roman" w:cs="Times New Roman"/>
          <w:bCs w:val="0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Cs w:val="0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Cs w:val="0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0" w:after="0" w:line="360" w:lineRule="auto"/>
        <w:ind w:left="-420" w:leftChars="0" w:firstLine="420" w:firstLineChars="0"/>
        <w:rPr>
          <w:rFonts w:hint="default" w:ascii="Times New Roman" w:hAnsi="Times New Roman" w:cs="Times New Roman"/>
          <w:bCs w:val="0"/>
          <w:sz w:val="32"/>
          <w:szCs w:val="32"/>
          <w:lang w:val="en-US" w:eastAsia="zh-CN"/>
        </w:rPr>
      </w:pPr>
      <w:bookmarkStart w:id="0" w:name="_Toc25765"/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实验原理及步骤</w:t>
      </w:r>
      <w:bookmarkEnd w:id="0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LeNet-5是由Yann LeCun等人于1998年提出的深度卷积神经网络，被广泛应用于手写数字识别任务。其原理如下：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卷积层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Net-5包含两个卷积层，分别用于提取图像的特征。每个卷积层由多个卷积核组成，每个卷积核与输入图像进行卷积操作以生成特征映射。每个卷积核心学习一组特征，通过对输入图像进行滑动，检测出图像中的边缘、纹理等特征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池化层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每个卷积层之后，LeNet-5使用最大池化操作来减少特征映射的大小，并提取最显著的特征。最大池化操作通过在每个池化区域中选择最大值来实现。池化操作有助于提高模型的局部不变性和鲁棒性，同时减少了模型的参数数量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全连接层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在经过卷积和池化操作后，LeNet-5使用两个全连接层来进行分类。全连接层将所有的特征连接到输出层，用于对输入图像进行分类。最后一个全连接层的输出通过softmax函数进行处理，以生成每个类别的概率分布。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激活函数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LeNet-5使用非线性激活函数来引入非线性特性，这有助于模型学习复杂的特征和决策边界。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损失函数和优化器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在训练过程中，LeNet-5使用交叉熵损失函数来衡量模型输出与真实标签之间的差异。优化器用于调整模型参数，以最小化损失函数。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center"/>
      </w:pPr>
      <w:r>
        <w:drawing>
          <wp:inline distT="0" distB="0" distL="114300" distR="114300">
            <wp:extent cx="3924300" cy="1733550"/>
            <wp:effectExtent l="0" t="0" r="0" b="635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</w:rPr>
        <w:t>图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color w:val="000000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原理图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-420" w:leftChars="0" w:firstLine="420" w:firstLineChars="0"/>
        <w:rPr>
          <w:rFonts w:hint="default" w:ascii="Times New Roman" w:hAnsi="Times New Roman" w:cs="Times New Roman"/>
          <w:bCs w:val="0"/>
          <w:sz w:val="32"/>
          <w:szCs w:val="32"/>
          <w:lang w:val="en-US" w:eastAsia="zh-CN"/>
        </w:rPr>
      </w:pPr>
      <w:bookmarkStart w:id="1" w:name="_Toc5840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改进模型实现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77"/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1实验方法</w:t>
      </w:r>
      <w:bookmarkEnd w:id="2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实验中对经典的LeNet-5模型进行了改进，经典的LeNet-5模型包含卷积层、池化层、卷积层、池化层、全连接层、全连接层、输出层，本实验中改进的LeNet模型结构包含卷积层、池化层、ReLU激活层、卷积层、池化层、ReLU激活层、全连接层、ReLU激活层、全连接层、ReLU激活层、输出层。相对于经典的模型结构，添加了额外的ReLU激活层，提高了模型的非线性特性，梯度传播稳定性和泛化能力，同时还能在一定程度上减少过拟合的风险，从而提高模型的性能和稳定性。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本实验中在保持基本的卷积层和池化层的结构时，还使用了ReLU激活函数代替了传统的Sigmoid激活函数，该改进具有以下优势：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激活函数优化：解决了Sigmoid激活函数中的梯度消失问题。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训练速度提升：由于ReLU的计算简单，使用ReLU可以加速神经网络的训练过程，相较于Sigmoid函数需要进行较为复杂的指数运算。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减少过拟合风险：提供了非线性能力的同时还帮助减轻了过拟合的问题。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维持网络稀疏性：ReLU在负数部分的输出为0，这一特性使得网络中的激活节点数量减少，提高了计算效率。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改善网络泛化能力：由于ReLU的特性和结合了多个ReLU层，这种结构提供了很好的泛化能力。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21426"/>
      <w:r>
        <w:rPr>
          <w:rFonts w:hint="eastAsia"/>
          <w:lang w:val="en-US" w:eastAsia="zh-CN"/>
        </w:rPr>
        <w:t>2.1.1 LeNet模型类</w:t>
      </w:r>
      <w:bookmarkEnd w:id="3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在模型类中定义一个可训练对象的基类、卷积层类、池化层类、激活函数类、全连接层类、损失函数类、以及模型主类。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训练对象的基类Trainable中首先定义训练过程中的属性，包括学习率、学习率衰减、动量、最大训练步数、每个训练批次的数据量、权重衰减等，接着_init_方法中对属性进行初始化，在sgd_momentum方法中利用动量更新权重和偏置的变化。这个类在神经网络训练过程中，用于设置训练参数，并通过sgd_momentum方法实现带动量的SGD（随机梯度下降），有助于提高训练的稳定性和效率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卷积层类继承自Trainable类，在_init_方法中对层的名称、卷积核的大小、输入通道数、输出通道数、权重、偏置进行初始化。在forward方法中执行卷积层的前向传播操作，计算输出特征图的尺寸、对输入特征图进行卷积计算，通过循环在每个位置上应用卷积核，并使用矩阵乘法计算输出，最后返回前向传播的结果。在backward方法中执行卷积层的反向传播操作，计算梯度并更新参数，计算权重和偏置的梯度，计算反向传播的梯度，用于传递到前一层，使用动量更新权重和偏置的梯度，使用学习率和权重衰减更新权重和偏置，最后返回反向传播的梯度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池化层类定义两个方法，分别是forward方法和backward方法，在forward方法中执行池化层的前向传播操作，接收输入，其中包括样本的数量、输入特征图的高度、输入特征图的宽度、输入特征图的通道数，计算输入特征图的形状，并将其重新进行调整，以便进行池化操作，使用np.max函数在池化窗口内找到最大值，并将结果存储在out中，保存池化时的掩码，以便在反向传播时使用，返回池化后的结果。在backward方法中执行池化层的反向传播操作，接收上游传递下来的梯度，其形状与前向传播中的out相同，将梯度进行调整，以便与前向传播时使用的掩码相乘，通过乘以掩码，将梯度传播回原始的输入尺寸，将结果重新调整后返回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激活函数类定义了两个方法，分别是forward方法和backward方法。在forward中执行ReLU激活函数的前向传播操作，接收输入x，将输入x和0比较，生成一个布尔值的矩阵，其中大于0的元素为true，小于等于0的元素为false，将布尔值矩阵与输入x相乘，返回经过激活函数ReLU激活函数处理后的结果。在backward方法中执行ReLU激活函数的反向传播，接收上游传递下来的梯度，将激活函数前向传播时保存的输入与0比较，生成一个布尔值矩阵，其中大于0的元素为false，将布尔值矩阵与梯度相乘，返回经过ReLU激活函数反向传播出后的梯度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连接层类中定义了三个方法，分别是_init_方法、forward方法和backward方法。在_init_方法中先初始化全连接层对象，接收层的名称、输入的通道数和输出的通道数参数，使用高斯分布生成权重矩阵，并乘以一个缩放因子以保持梯度稳定性，初始化偏置向量，所有的元素初始值为0。在forward方法中执行全连接层的前向传播操作，接收输入x，如果输入的维度为4，则将对其进行调整，将输入x与权重矩阵相乘，然后加上偏置向量，返回全连接层前向传播后的结果。在backward方法中，执行全连接层的反向传播操作，接收上游传递下面的梯度，计算权重的梯度和偏置的梯度，计算反向传播的梯度，并将结果重新调整为原始输入的形状，使用随机梯度下降与动量更新权重和偏置，最后返回全连接层反向传播后的梯度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损失函数类中定义了三个方法，分别是forward方法、backward方法和set_label方法。在forward方法中，计算输入x的softmax函数，如果已经设置了标签，则计算交叉熵损失和准确率，根据是否设置了标签，返回预测类别或者交叉熵损失和准确率。在backward方法中，计算softmax损失的反向传播梯度。在set_label方法中，设置真实标签，以便在计算损失和准确率时使用。</w:t>
      </w:r>
    </w:p>
    <w:p>
      <w:pPr>
        <w:spacing w:line="360" w:lineRule="auto"/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主类中实现了一个LeNet神经网络模型，并提供了训练，预测，保存和加载模型的功能。在_init_方法中创建一系列层，包括两个卷积层、两个池化层、两个全连接层、四个ReLU激活函数层，按照LeNet模型的结构一次排列。在train方法中，接收输入图像和对应的标签，在每个训练步骤中，从输入中取出一个大小为batch_size的批次进行训练，通过前向传播计算模型输出，并设置softmax损失层的标签为真实标签，然后进行反向传播计算梯度并更新模型参数。在predict方法中对输入图像进行预测，通过前向传播计算模型输出。在save方法中将模型的参数保存在指定路径下的文件中。在load方法中从模型训练得到的文件中加载模型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9565"/>
      <w:r>
        <w:rPr>
          <w:rFonts w:hint="eastAsia"/>
          <w:lang w:val="en-US" w:eastAsia="zh-CN"/>
        </w:rPr>
        <w:t>2.1.2 模型训练</w:t>
      </w:r>
      <w:bookmarkEnd w:id="4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训练时，先调用get_training_data函数加载训练数据集，该函数中先遍历所有的图像，读取灰度图像，并将其调整为32*32像素，将图像转换为浮点型，并进行归一化处理，然后将其存储在images列表中，接着根据文件名提取标签，将标签转换为一个长度为10的独热编码，并存储在labels列表中，返回处理后的图像和标签数组。创建一个lenet实例，调用lenet.train方法对加载的训练数据集进行训练，最后调用lenet.save方法将训练好的模型保存在文件中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6790"/>
      <w:r>
        <w:rPr>
          <w:rFonts w:hint="eastAsia"/>
          <w:lang w:val="en-US" w:eastAsia="zh-CN"/>
        </w:rPr>
        <w:t>2.1.3 模型测试</w:t>
      </w:r>
      <w:bookmarkEnd w:id="5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测试时，首先加载并预处理测试数据集，遍历每个文件，读取灰度图像，并将其调整大小为32*32像素，将图像转换为浮点型，并进行归一化处理，然后存储在images列表中，从文件名中提取标签，并将其存储在labels列表中。将处理后的图像和标签转化为NumPy数组。创建一个lenet实例，使用lenet.load方法加载之前保存的训练好的模型文件，再调用lenet.predict方法对测试数据集进行预测，得到预测结果，最后计算预测的准确率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9436"/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2实验结果与分析</w:t>
      </w:r>
      <w:bookmarkEnd w:id="6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实验训练，训练的数据集为MNIST数据集的60000张图像，经过500轮的训练，得到的模型的准确率为98%左右，如图2所示。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14850" cy="514350"/>
            <wp:effectExtent l="0" t="0" r="6350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</w:rPr>
        <w:t>图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color w:val="000000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训练结果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训练完毕后，采用模型测试程序对训练好的模型进行测试，测试的数据集为MNIST的10000张图像，测试得到的准确率为98.14%，如图3所示。</w:t>
      </w:r>
    </w:p>
    <w:p>
      <w:pPr>
        <w:jc w:val="center"/>
      </w:pPr>
      <w:r>
        <w:drawing>
          <wp:inline distT="0" distB="0" distL="114300" distR="114300">
            <wp:extent cx="5111750" cy="336550"/>
            <wp:effectExtent l="0" t="0" r="635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</w:rPr>
        <w:t>图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3</w:t>
      </w:r>
      <w:r>
        <w:rPr>
          <w:rFonts w:hint="eastAsia" w:ascii="楷体" w:hAnsi="楷体" w:eastAsia="楷体" w:cs="楷体"/>
          <w:color w:val="000000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测试结果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-420" w:leftChars="0" w:firstLine="420" w:firstLineChars="0"/>
        <w:rPr>
          <w:rFonts w:hint="default" w:ascii="Times New Roman" w:hAnsi="Times New Roman" w:cs="Times New Roman"/>
          <w:bCs w:val="0"/>
          <w:sz w:val="32"/>
          <w:szCs w:val="32"/>
          <w:lang w:val="en-US" w:eastAsia="zh-CN"/>
        </w:rPr>
      </w:pPr>
      <w:bookmarkStart w:id="7" w:name="_Toc7804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Pytorch实现</w:t>
      </w:r>
      <w:bookmarkEnd w:id="7"/>
    </w:p>
    <w:p>
      <w:pPr>
        <w:pStyle w:val="3"/>
        <w:bidi w:val="0"/>
        <w:rPr>
          <w:rFonts w:hint="eastAsia" w:ascii="Times New Roman" w:hAnsi="Times New Roman" w:cs="Times New Roman"/>
          <w:lang w:val="en-US" w:eastAsia="zh-CN"/>
        </w:rPr>
      </w:pPr>
      <w:bookmarkStart w:id="8" w:name="_Toc10055"/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1实验方法</w:t>
      </w:r>
      <w:bookmarkEnd w:id="8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训练模型的过程中，定义一个LeNet-5模型，包括初始化函数和前向传播函数。在初始化函数中定义模型的各个层，包括两个卷积层、两个池化层以及三个全连接层，每个层的参数包括输入通道数、输出通道数、卷积核大小、池化核大小和步长以及输出节点数。在前向传播函数中，定义了LeNet-5模型的前向计算过程，通过对输入x进行一系列卷积、池化和全连接操作。设置模型训练的超参数，包括批量大小、学习率和训练轮次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准备训练和测试数据集，使用datasets.MNIST方法从torchvision库中加载MNIST数据集，指定数据集的存储路径，并将数据转换为PyTorch的张量形式，使用DataLoader将加载的数据集转换为可迭代的数据加载器，设置每个批次的样本数量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实例化模型和优化器，使用LeNet5实例化一个LeNet-5模型，使用optim.SDG实例化一随机梯度下降优化器，用于优化模型的参数。定义模型训练后保存的路径以及保存的文件名。模型训练的过程中，将模型设置为训练模型，并遍历训练集中的批次数据，对每个批次的数据将数据输入模型进行前向传播，计算损失，根据损失计算梯度并更新模型，每一轮次的训练结束后，在测试数据集上评估模型性能。训练完毕后，将模型参数保存到对应的文件路径底下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使用保存的模型进行预测，遍历测试集中的一个批次的数据，并随机选择其中一个样本，将选择的样本输入模型进行预测，得到预测结果。</w:t>
      </w:r>
    </w:p>
    <w:p>
      <w:pPr>
        <w:pStyle w:val="3"/>
        <w:bidi w:val="0"/>
        <w:rPr>
          <w:rFonts w:hint="eastAsia" w:ascii="Times New Roman" w:hAnsi="Times New Roman" w:cs="Times New Roman"/>
          <w:lang w:val="en-US" w:eastAsia="zh-CN"/>
        </w:rPr>
      </w:pPr>
      <w:bookmarkStart w:id="9" w:name="_Toc11573"/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2实验结果及分析</w:t>
      </w:r>
      <w:bookmarkEnd w:id="9"/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设置的训练轮次为500轮，当训练到100轮时，模型的准确率已经趋于一个稳定值，所以在训练的过程中可以设置训练轮次为100轮次。训练的模型准确率为98.5%左右，训练结果如图4所示。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83000" cy="127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</w:rPr>
        <w:t>图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4</w:t>
      </w:r>
      <w:r>
        <w:rPr>
          <w:rFonts w:hint="eastAsia" w:ascii="楷体" w:hAnsi="楷体" w:eastAsia="楷体" w:cs="楷体"/>
          <w:color w:val="000000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训练过程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加载训练后保存的模型，对测试数据集进行预测，预测10个数据，其中存在两个预测错误，预测结果如图5所示。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16250" cy="2127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</w:rPr>
        <w:t>图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5</w:t>
      </w:r>
      <w:r>
        <w:rPr>
          <w:rFonts w:hint="eastAsia" w:ascii="楷体" w:hAnsi="楷体" w:eastAsia="楷体" w:cs="楷体"/>
          <w:color w:val="000000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预测结果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67F10F"/>
    <w:multiLevelType w:val="singleLevel"/>
    <w:tmpl w:val="C867F10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E6D4CA9"/>
    <w:multiLevelType w:val="singleLevel"/>
    <w:tmpl w:val="CE6D4C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138F304"/>
    <w:multiLevelType w:val="singleLevel"/>
    <w:tmpl w:val="7138F304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zMDAxYWVmNzRiOTU4NjlhMjQ3MmE2ZGJjNjc1NWIifQ=="/>
  </w:docVars>
  <w:rsids>
    <w:rsidRoot w:val="00000000"/>
    <w:rsid w:val="0216603A"/>
    <w:rsid w:val="03CD3E99"/>
    <w:rsid w:val="09866F50"/>
    <w:rsid w:val="09AA2E86"/>
    <w:rsid w:val="0ABE14CD"/>
    <w:rsid w:val="0D986EAA"/>
    <w:rsid w:val="0E1832F7"/>
    <w:rsid w:val="0F5A5032"/>
    <w:rsid w:val="11115410"/>
    <w:rsid w:val="19501972"/>
    <w:rsid w:val="20B83463"/>
    <w:rsid w:val="21D97C1A"/>
    <w:rsid w:val="223B539B"/>
    <w:rsid w:val="246935D4"/>
    <w:rsid w:val="2B8D524E"/>
    <w:rsid w:val="30C43CB2"/>
    <w:rsid w:val="318A37CC"/>
    <w:rsid w:val="33390B24"/>
    <w:rsid w:val="34D50023"/>
    <w:rsid w:val="35EA6395"/>
    <w:rsid w:val="367F6ACA"/>
    <w:rsid w:val="392C6D3C"/>
    <w:rsid w:val="3AD76F41"/>
    <w:rsid w:val="3E604C86"/>
    <w:rsid w:val="46685415"/>
    <w:rsid w:val="473D491A"/>
    <w:rsid w:val="52EA0D4E"/>
    <w:rsid w:val="548A011F"/>
    <w:rsid w:val="57836126"/>
    <w:rsid w:val="59090834"/>
    <w:rsid w:val="61C64CD9"/>
    <w:rsid w:val="62375C48"/>
    <w:rsid w:val="643E4FFD"/>
    <w:rsid w:val="643F6EC5"/>
    <w:rsid w:val="694128EF"/>
    <w:rsid w:val="6A8F5D4B"/>
    <w:rsid w:val="708C57FD"/>
    <w:rsid w:val="790452A2"/>
    <w:rsid w:val="7EA2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rFonts w:ascii="Arial" w:hAnsi="Arial" w:eastAsia="宋体"/>
      <w:b/>
      <w:sz w:val="28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0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qFormat/>
    <w:uiPriority w:val="0"/>
    <w:pPr>
      <w:ind w:left="840" w:leftChars="400"/>
    </w:pPr>
  </w:style>
  <w:style w:type="paragraph" w:styleId="7">
    <w:name w:val="footer"/>
    <w:basedOn w:val="1"/>
    <w:autoRedefine/>
    <w:qFormat/>
    <w:uiPriority w:val="99"/>
    <w:pPr>
      <w:tabs>
        <w:tab w:val="center" w:pos="4510"/>
        <w:tab w:val="right" w:pos="9020"/>
      </w:tabs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/>
      <w:sz w:val="18"/>
      <w:szCs w:val="18"/>
    </w:rPr>
  </w:style>
  <w:style w:type="paragraph" w:styleId="8">
    <w:name w:val="toc 1"/>
    <w:basedOn w:val="1"/>
    <w:next w:val="1"/>
    <w:autoRedefine/>
    <w:qFormat/>
    <w:uiPriority w:val="0"/>
  </w:style>
  <w:style w:type="paragraph" w:styleId="9">
    <w:name w:val="toc 2"/>
    <w:basedOn w:val="1"/>
    <w:next w:val="1"/>
    <w:autoRedefine/>
    <w:qFormat/>
    <w:uiPriority w:val="0"/>
    <w:pPr>
      <w:ind w:left="420" w:leftChars="200"/>
    </w:pPr>
  </w:style>
  <w:style w:type="character" w:styleId="12">
    <w:name w:val="HTML Code"/>
    <w:basedOn w:val="11"/>
    <w:autoRedefine/>
    <w:qFormat/>
    <w:uiPriority w:val="0"/>
    <w:rPr>
      <w:rFonts w:ascii="Courier New" w:hAnsi="Courier New"/>
      <w:sz w:val="20"/>
    </w:rPr>
  </w:style>
  <w:style w:type="paragraph" w:customStyle="1" w:styleId="13">
    <w:name w:val="TOC Heading"/>
    <w:basedOn w:val="2"/>
    <w:next w:val="1"/>
    <w:autoRedefine/>
    <w:unhideWhenUsed/>
    <w:qFormat/>
    <w:uiPriority w:val="39"/>
    <w:pPr>
      <w:spacing w:before="240" w:after="0" w:line="259" w:lineRule="auto"/>
      <w:outlineLvl w:val="9"/>
    </w:pPr>
    <w:rPr>
      <w:rFonts w:ascii="等线 Light" w:hAnsi="等线 Light" w:eastAsia="等线 Light"/>
      <w:b w:val="0"/>
      <w:bCs w:val="0"/>
      <w:color w:val="2E74B5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2024-04-21T10:47:00Z</dcterms:created>
  <dc:creator>林林</dc:creator>
  <cp:lastModifiedBy>林小沸</cp:lastModifiedBy>
  <dcterms:modified xsi:type="dcterms:W3CDTF">2024-05-31T02:26:36Z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3D4C0D733823482DAC0DCB1DA6F169F7_12</vt:lpwstr>
  </property>
</Properties>
</file>