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r>
        <w:rPr>
          <w:rFonts w:hint="default" w:ascii="Times New Roman" w:hAnsi="Times New Roman" w:eastAsia="仿宋_GB2312" w:cs="Times New Roman"/>
          <w:color w:val="0000FF"/>
          <w:sz w:val="28"/>
        </w:rPr>
        <w:drawing>
          <wp:inline distT="0" distB="0" distL="0" distR="0">
            <wp:extent cx="5262880" cy="1223010"/>
            <wp:effectExtent l="0" t="0" r="7620" b="8890"/>
            <wp:docPr id="247"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 descr="校标 浅底"/>
                    <pic:cNvPicPr>
                      <a:picLocks noChangeAspect="1" noChangeArrowheads="1"/>
                    </pic:cNvPicPr>
                  </pic:nvPicPr>
                  <pic:blipFill>
                    <a:blip r:embed="rId4"/>
                    <a:srcRect/>
                    <a:stretch>
                      <a:fillRect/>
                    </a:stretch>
                  </pic:blipFill>
                  <pic:spPr>
                    <a:xfrm>
                      <a:off x="0" y="0"/>
                      <a:ext cx="5262880" cy="1223010"/>
                    </a:xfrm>
                    <a:prstGeom prst="rect">
                      <a:avLst/>
                    </a:prstGeom>
                    <a:noFill/>
                    <a:ln>
                      <a:noFill/>
                    </a:ln>
                  </pic:spPr>
                </pic:pic>
              </a:graphicData>
            </a:graphic>
          </wp:inline>
        </w:drawing>
      </w:r>
    </w:p>
    <w:p>
      <w:pPr>
        <w:jc w:val="center"/>
        <w:rPr>
          <w:rFonts w:hint="default" w:ascii="Times New Roman" w:hAnsi="Times New Roman" w:eastAsia="宋体" w:cs="Times New Roman"/>
          <w:color w:val="auto"/>
          <w:sz w:val="84"/>
          <w:szCs w:val="84"/>
          <w:lang w:val="en-US" w:eastAsia="zh-CN"/>
        </w:rPr>
      </w:pP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计算机视觉与应用</w:t>
      </w: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实践</w:t>
      </w:r>
    </w:p>
    <w:p>
      <w:pPr>
        <w:jc w:val="both"/>
        <w:rPr>
          <w:rFonts w:hint="default" w:ascii="Times New Roman" w:hAnsi="Times New Roman" w:eastAsia="宋体" w:cs="Times New Roman"/>
          <w:color w:val="auto"/>
          <w:sz w:val="56"/>
          <w:szCs w:val="56"/>
          <w:lang w:val="en-US" w:eastAsia="zh-CN"/>
        </w:rPr>
      </w:pPr>
    </w:p>
    <w:p>
      <w:pPr>
        <w:bidi w:val="0"/>
        <w:jc w:val="center"/>
        <w:rPr>
          <w:rFonts w:hint="default" w:ascii="Times New Roman" w:hAnsi="Times New Roman" w:cs="Times New Roman"/>
          <w:sz w:val="52"/>
          <w:szCs w:val="52"/>
          <w:lang w:val="en-US" w:eastAsia="zh-CN"/>
        </w:rPr>
      </w:pPr>
      <w:r>
        <w:rPr>
          <w:rFonts w:hint="default" w:ascii="Times New Roman" w:hAnsi="Times New Roman" w:cs="Times New Roman"/>
          <w:sz w:val="52"/>
          <w:szCs w:val="52"/>
          <w:lang w:val="en-US" w:eastAsia="zh-CN"/>
        </w:rPr>
        <w:t>练习4——单应性变换</w:t>
      </w:r>
    </w:p>
    <w:tbl>
      <w:tblPr>
        <w:tblStyle w:val="11"/>
        <w:tblW w:w="0" w:type="auto"/>
        <w:jc w:val="center"/>
        <w:tblLayout w:type="fixed"/>
        <w:tblCellMar>
          <w:top w:w="0" w:type="dxa"/>
          <w:left w:w="108" w:type="dxa"/>
          <w:bottom w:w="0" w:type="dxa"/>
          <w:right w:w="108" w:type="dxa"/>
        </w:tblCellMar>
      </w:tblPr>
      <w:tblGrid>
        <w:gridCol w:w="1879"/>
        <w:gridCol w:w="1649"/>
        <w:gridCol w:w="1694"/>
        <w:gridCol w:w="2306"/>
      </w:tblGrid>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姓  名</w:t>
            </w:r>
            <w:r>
              <w:rPr>
                <w:rFonts w:hint="default" w:ascii="Times New Roman" w:hAnsi="Times New Roman" w:cs="Times New Roman"/>
                <w:b/>
                <w:bCs/>
                <w:sz w:val="32"/>
                <w:szCs w:val="24"/>
              </w:rPr>
              <w:t>:</w:t>
            </w:r>
          </w:p>
        </w:tc>
        <w:tc>
          <w:tcPr>
            <w:tcW w:w="1649"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val="en-US" w:eastAsia="zh-CN"/>
              </w:rPr>
            </w:pPr>
            <w:r>
              <w:rPr>
                <w:rFonts w:hint="default" w:ascii="Times New Roman" w:hAnsi="Times New Roman" w:eastAsia="楷体" w:cs="Times New Roman"/>
                <w:sz w:val="32"/>
                <w:szCs w:val="32"/>
              </w:rPr>
              <w:t xml:space="preserve"> </w:t>
            </w:r>
            <w:r>
              <w:rPr>
                <w:rFonts w:hint="default" w:ascii="Times New Roman" w:hAnsi="Times New Roman" w:eastAsia="楷体" w:cs="Times New Roman"/>
                <w:sz w:val="32"/>
                <w:szCs w:val="32"/>
                <w:lang w:val="en-US" w:eastAsia="zh-CN"/>
              </w:rPr>
              <w:t>林雅惠</w:t>
            </w:r>
          </w:p>
        </w:tc>
        <w:tc>
          <w:tcPr>
            <w:tcW w:w="1694"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号</w:t>
            </w:r>
            <w:r>
              <w:rPr>
                <w:rFonts w:hint="default" w:ascii="Times New Roman" w:hAnsi="Times New Roman" w:cs="Times New Roman"/>
                <w:b/>
                <w:bCs/>
                <w:sz w:val="32"/>
                <w:szCs w:val="24"/>
              </w:rPr>
              <w:t>:</w:t>
            </w:r>
          </w:p>
        </w:tc>
        <w:tc>
          <w:tcPr>
            <w:tcW w:w="2306"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eastAsia="zh-CN"/>
              </w:rPr>
            </w:pPr>
            <w:r>
              <w:rPr>
                <w:rFonts w:hint="default" w:ascii="Times New Roman" w:hAnsi="Times New Roman" w:eastAsia="楷体" w:cs="Times New Roman"/>
                <w:sz w:val="32"/>
                <w:szCs w:val="32"/>
                <w:lang w:val="en-US" w:eastAsia="zh-CN"/>
              </w:rPr>
              <w:t xml:space="preserve">123106222874 </w:t>
            </w:r>
          </w:p>
        </w:tc>
      </w:tr>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院</w:t>
            </w:r>
            <w:r>
              <w:rPr>
                <w:rFonts w:hint="default" w:ascii="Times New Roman" w:hAnsi="Times New Roman" w:cs="Times New Roman"/>
                <w:b/>
                <w:bCs/>
                <w:sz w:val="32"/>
                <w:szCs w:val="24"/>
              </w:rPr>
              <w:t>:</w:t>
            </w:r>
          </w:p>
        </w:tc>
        <w:tc>
          <w:tcPr>
            <w:tcW w:w="5649" w:type="dxa"/>
            <w:gridSpan w:val="3"/>
            <w:tcBorders>
              <w:top w:val="single" w:color="auto" w:sz="4" w:space="0"/>
              <w:bottom w:val="single" w:color="auto" w:sz="4" w:space="0"/>
            </w:tcBorders>
            <w:vAlign w:val="bottom"/>
          </w:tcPr>
          <w:p>
            <w:pPr>
              <w:spacing w:after="0" w:line="360" w:lineRule="auto"/>
              <w:jc w:val="center"/>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计算机科学与工程学院</w:t>
            </w:r>
          </w:p>
        </w:tc>
      </w:tr>
    </w:tbl>
    <w:p>
      <w:pPr>
        <w:spacing w:after="93" w:afterLines="30" w:line="360" w:lineRule="auto"/>
        <w:jc w:val="both"/>
        <w:rPr>
          <w:rFonts w:hint="default" w:ascii="Times New Roman" w:hAnsi="Times New Roman" w:eastAsia="楷体" w:cs="Times New Roman"/>
          <w:sz w:val="48"/>
          <w:szCs w:val="48"/>
        </w:rPr>
      </w:pPr>
    </w:p>
    <w:p>
      <w:pPr>
        <w:jc w:val="center"/>
        <w:rPr>
          <w:rFonts w:hint="default" w:ascii="Times New Roman" w:hAnsi="Times New Roman" w:eastAsia="宋体" w:cs="Times New Roman"/>
          <w:b/>
          <w:bCs/>
          <w:color w:val="auto"/>
          <w:spacing w:val="12"/>
          <w:kern w:val="0"/>
          <w:sz w:val="32"/>
          <w:szCs w:val="32"/>
          <w:lang w:val="en-US" w:eastAsia="zh-CN" w:bidi="ar-SA"/>
        </w:rPr>
      </w:pPr>
      <w:r>
        <w:rPr>
          <w:rFonts w:hint="default" w:ascii="Times New Roman" w:hAnsi="Times New Roman" w:eastAsia="宋体" w:cs="Times New Roman"/>
          <w:b/>
          <w:bCs/>
          <w:color w:val="auto"/>
          <w:spacing w:val="12"/>
          <w:kern w:val="0"/>
          <w:sz w:val="32"/>
          <w:szCs w:val="32"/>
          <w:lang w:val="en-US" w:eastAsia="zh-CN" w:bidi="ar-SA"/>
        </w:rPr>
        <w:t>2024年5月12日</w:t>
      </w:r>
    </w:p>
    <w:p>
      <w:pPr>
        <w:jc w:val="center"/>
        <w:rPr>
          <w:rFonts w:hint="default" w:ascii="Times New Roman" w:hAnsi="Times New Roman" w:eastAsia="宋体" w:cs="Times New Roman"/>
          <w:b/>
          <w:bCs/>
          <w:color w:val="auto"/>
          <w:spacing w:val="12"/>
          <w:kern w:val="0"/>
          <w:sz w:val="32"/>
          <w:szCs w:val="32"/>
          <w:lang w:val="en-US" w:eastAsia="zh-CN" w:bidi="ar-SA"/>
        </w:rPr>
      </w:pPr>
    </w:p>
    <w:p>
      <w:pPr>
        <w:jc w:val="both"/>
        <w:rPr>
          <w:rFonts w:hint="default" w:ascii="Times New Roman" w:hAnsi="Times New Roman" w:eastAsia="宋体" w:cs="Times New Roman"/>
          <w:b/>
          <w:bCs/>
          <w:color w:val="auto"/>
          <w:spacing w:val="12"/>
          <w:kern w:val="0"/>
          <w:sz w:val="32"/>
          <w:szCs w:val="32"/>
          <w:lang w:val="en-US" w:eastAsia="zh-CN" w:bidi="ar-SA"/>
        </w:rPr>
      </w:pPr>
    </w:p>
    <w:sdt>
      <w:sdtPr>
        <w:rPr>
          <w:rFonts w:hint="eastAsia" w:ascii="宋体" w:hAnsi="宋体" w:eastAsia="宋体" w:cs="宋体"/>
          <w:kern w:val="2"/>
          <w:sz w:val="24"/>
          <w:szCs w:val="24"/>
          <w:lang w:val="en-US" w:eastAsia="zh-CN" w:bidi="ar-SA"/>
        </w:rPr>
        <w:id w:val="147463538"/>
        <w15:color w:val="DBDBDB"/>
        <w:docPartObj>
          <w:docPartGallery w:val="Table of Contents"/>
          <w:docPartUnique/>
        </w:docPartObj>
      </w:sdtPr>
      <w:sdtEndPr>
        <w:rPr>
          <w:rFonts w:hint="default" w:ascii="Times New Roman" w:hAnsi="Times New Roman" w:eastAsia="宋体" w:cs="Times New Roman"/>
          <w:bCs/>
          <w:color w:val="auto"/>
          <w:spacing w:val="12"/>
          <w:kern w:val="0"/>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bookmarkStart w:id="6" w:name="_GoBack"/>
          <w:r>
            <w:rPr>
              <w:rFonts w:hint="eastAsia" w:ascii="宋体" w:hAnsi="宋体" w:eastAsia="宋体" w:cs="宋体"/>
              <w:sz w:val="24"/>
              <w:szCs w:val="24"/>
            </w:rPr>
            <w:t>目录</w:t>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color w:val="auto"/>
              <w:spacing w:val="12"/>
              <w:kern w:val="0"/>
              <w:sz w:val="24"/>
              <w:szCs w:val="24"/>
              <w:lang w:val="en-US" w:eastAsia="zh-CN" w:bidi="ar-SA"/>
            </w:rPr>
            <w:instrText xml:space="preserve">TOC \o "1-3" \h \u </w:instrText>
          </w:r>
          <w:r>
            <w:rPr>
              <w:rFonts w:hint="eastAsia" w:ascii="宋体" w:hAnsi="宋体" w:eastAsia="宋体" w:cs="宋体"/>
              <w:bCs/>
              <w:color w:val="auto"/>
              <w:spacing w:val="12"/>
              <w:kern w:val="0"/>
              <w:sz w:val="24"/>
              <w:szCs w:val="24"/>
              <w:lang w:val="en-US" w:eastAsia="zh-CN" w:bidi="ar-SA"/>
            </w:rPr>
            <w:fldChar w:fldCharType="separate"/>
          </w: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_Toc14315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bCs w:val="0"/>
              <w:sz w:val="24"/>
              <w:szCs w:val="24"/>
              <w:lang w:val="en-US" w:eastAsia="zh-CN"/>
            </w:rPr>
            <w:t xml:space="preserve">一、 </w:t>
          </w:r>
          <w:r>
            <w:rPr>
              <w:rFonts w:hint="eastAsia" w:ascii="宋体" w:hAnsi="宋体" w:eastAsia="宋体" w:cs="宋体"/>
              <w:sz w:val="24"/>
              <w:szCs w:val="24"/>
              <w:lang w:val="en-US" w:eastAsia="zh-CN"/>
            </w:rPr>
            <w:t>实验原理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_Toc14315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_Toc5006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bCs w:val="0"/>
              <w:sz w:val="24"/>
              <w:szCs w:val="24"/>
              <w:lang w:val="en-US" w:eastAsia="zh-CN"/>
            </w:rPr>
            <w:t xml:space="preserve">二、 </w:t>
          </w:r>
          <w:r>
            <w:rPr>
              <w:rFonts w:hint="eastAsia" w:ascii="宋体" w:hAnsi="宋体" w:eastAsia="宋体" w:cs="宋体"/>
              <w:sz w:val="24"/>
              <w:szCs w:val="24"/>
              <w:lang w:val="en-US" w:eastAsia="zh-CN"/>
            </w:rPr>
            <w:t>实验方法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_Toc5006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_Toc2418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2.1特征点提取和匹配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_Toc7053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2.2单应性变换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_Toc7053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_Toc8023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2.3误差计算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_Toc8023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_Toc25942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bCs w:val="0"/>
              <w:sz w:val="24"/>
              <w:szCs w:val="24"/>
              <w:lang w:val="en-US" w:eastAsia="zh-CN"/>
            </w:rPr>
            <w:t xml:space="preserve">三、 </w:t>
          </w:r>
          <w:r>
            <w:rPr>
              <w:rFonts w:hint="eastAsia" w:ascii="宋体" w:hAnsi="宋体" w:eastAsia="宋体" w:cs="宋体"/>
              <w:sz w:val="24"/>
              <w:szCs w:val="24"/>
              <w:lang w:val="en-US" w:eastAsia="zh-CN"/>
            </w:rPr>
            <w:t>实验结果及分析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_Toc25942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jc w:val="both"/>
            <w:rPr>
              <w:rFonts w:hint="default" w:ascii="Times New Roman" w:hAnsi="Times New Roman" w:eastAsia="宋体" w:cs="Times New Roman"/>
              <w:bCs/>
              <w:color w:val="auto"/>
              <w:spacing w:val="12"/>
              <w:kern w:val="0"/>
              <w:sz w:val="24"/>
              <w:szCs w:val="24"/>
              <w:lang w:val="en-US" w:eastAsia="zh-CN" w:bidi="ar-SA"/>
            </w:rPr>
          </w:pPr>
          <w:r>
            <w:rPr>
              <w:rFonts w:hint="eastAsia" w:ascii="宋体" w:hAnsi="宋体" w:eastAsia="宋体" w:cs="宋体"/>
              <w:bCs/>
              <w:color w:val="auto"/>
              <w:spacing w:val="12"/>
              <w:kern w:val="0"/>
              <w:sz w:val="24"/>
              <w:szCs w:val="24"/>
              <w:lang w:val="en-US" w:eastAsia="zh-CN" w:bidi="ar-SA"/>
            </w:rPr>
            <w:fldChar w:fldCharType="end"/>
          </w:r>
          <w:bookmarkEnd w:id="6"/>
        </w:p>
      </w:sdtContent>
    </w:sdt>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pStyle w:val="2"/>
        <w:numPr>
          <w:ilvl w:val="0"/>
          <w:numId w:val="0"/>
        </w:numPr>
        <w:spacing w:before="0" w:after="0" w:line="360" w:lineRule="auto"/>
        <w:ind w:leftChars="0"/>
        <w:rPr>
          <w:rFonts w:hint="default" w:ascii="Times New Roman" w:hAnsi="Times New Roman" w:cs="Times New Roman"/>
          <w:bCs w:val="0"/>
          <w:sz w:val="32"/>
          <w:szCs w:val="32"/>
          <w:lang w:val="en-US" w:eastAsia="zh-CN"/>
        </w:rPr>
      </w:pPr>
    </w:p>
    <w:p>
      <w:pPr>
        <w:rPr>
          <w:rFonts w:hint="default" w:ascii="Times New Roman" w:hAnsi="Times New Roman" w:cs="Times New Roman"/>
          <w:bCs w:val="0"/>
          <w:sz w:val="32"/>
          <w:szCs w:val="32"/>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0" w:name="_Toc14315"/>
      <w:r>
        <w:rPr>
          <w:rFonts w:hint="default" w:ascii="Times New Roman" w:hAnsi="Times New Roman" w:cs="Times New Roman"/>
          <w:sz w:val="32"/>
          <w:szCs w:val="32"/>
          <w:lang w:val="en-US" w:eastAsia="zh-CN"/>
        </w:rPr>
        <w:t>实验原理</w:t>
      </w:r>
      <w:bookmarkEnd w:id="0"/>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单应性变换是计算机视觉中常用的一种图像变换方法，用于将一个图像投影到另一个图像。它的原理基于投影几何学和相机模型。</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在计算机视觉中，单应性变换通常使用单应性矩阵来表示，单应性矩阵是一个3*3的矩阵，它描述了两幅图像之间的投影关系，如图1所示。两幅图像中对应点之间的映射关系如图2所示，其中（x</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，y</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)为第一幅图像中的特征点坐标，（x</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，y</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)为第二幅图像中的特征点坐标</w:t>
      </w:r>
    </w:p>
    <w:p>
      <w:pPr>
        <w:numPr>
          <w:ilvl w:val="0"/>
          <w:numId w:val="0"/>
        </w:numPr>
        <w:spacing w:line="360" w:lineRule="auto"/>
        <w:ind w:leftChars="0"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36975" cy="1388745"/>
            <wp:effectExtent l="0" t="0" r="9525"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5"/>
                    <a:stretch>
                      <a:fillRect/>
                    </a:stretch>
                  </pic:blipFill>
                  <pic:spPr>
                    <a:xfrm>
                      <a:off x="0" y="0"/>
                      <a:ext cx="3736975" cy="13887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1</w:t>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872480" cy="1042670"/>
            <wp:effectExtent l="0" t="0" r="7620" b="1143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6"/>
                    <a:stretch>
                      <a:fillRect/>
                    </a:stretch>
                  </pic:blipFill>
                  <pic:spPr>
                    <a:xfrm>
                      <a:off x="0" y="0"/>
                      <a:ext cx="5872480" cy="10426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2</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单应性矩阵可以通过多种方法来计算，其中最常用的方法之一是通过特征点的匹配来估计。首先，在两幅图像中检测出一些特征点，然后通过某种算法找出这些特征点之间的对应关系。最后利用这些对应关系来估计单应性矩阵。</w:t>
      </w: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1" w:name="_Toc5006"/>
      <w:r>
        <w:rPr>
          <w:rFonts w:hint="default" w:ascii="Times New Roman" w:hAnsi="Times New Roman" w:cs="Times New Roman"/>
          <w:sz w:val="32"/>
          <w:szCs w:val="32"/>
          <w:lang w:val="en-US" w:eastAsia="zh-CN"/>
        </w:rPr>
        <w:t>实验方法</w:t>
      </w:r>
      <w:bookmarkEnd w:id="1"/>
    </w:p>
    <w:p>
      <w:pPr>
        <w:pStyle w:val="3"/>
        <w:bidi w:val="0"/>
        <w:rPr>
          <w:rFonts w:hint="default" w:ascii="Times New Roman" w:hAnsi="Times New Roman" w:cs="Times New Roman"/>
          <w:lang w:val="en-US" w:eastAsia="zh-CN"/>
        </w:rPr>
      </w:pPr>
      <w:bookmarkStart w:id="2" w:name="_Toc2418"/>
      <w:r>
        <w:rPr>
          <w:rFonts w:hint="default" w:ascii="Times New Roman" w:hAnsi="Times New Roman" w:cs="Times New Roman"/>
          <w:lang w:val="en-US" w:eastAsia="zh-CN"/>
        </w:rPr>
        <w:t>2.1特征点提取和匹配</w:t>
      </w:r>
      <w:bookmarkEnd w:id="2"/>
    </w:p>
    <w:p>
      <w:pPr>
        <w:pStyle w:val="10"/>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本实验中特征点提取和匹配使用SIFT算法的检测图像中的特征点并使用FLANN匹配算法进行特征点匹配，最终返回匹配点的坐标、特征点信息及良好的匹配点。具体步骤如下：</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创建SIFT检测器对象。SIFT是一种用于检测图像中的局部特征算法，它对图像的尺度和旋转变换具有不变性，在匹配的过程中具有良好的性能。</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使用SIFT算法在两幅图像中检测特征点并计算特征描述符。DetecAndCompute函数接收图像作为输入，并返回检测到的特征点和对应的特征描述符。</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使用FLANN（快速最近邻搜索库）匹配器进行特征点匹配。</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对匹配结果进行筛选，保留良好的匹配点，设置距离阈值，只保留与最近邻距离比小于距离阈值的匹配点。</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提取保留的匹配点的坐标信息。将匹配点的索引映射回特征点，并将其坐标存储为浮点型的数组。</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最终返回匹配点的源头像坐标、目标图像坐标、两幅图像的特征点信息以及良好的匹配点列表</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70500" cy="3209290"/>
            <wp:effectExtent l="0" t="0" r="0" b="381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7"/>
                    <a:stretch>
                      <a:fillRect/>
                    </a:stretch>
                  </pic:blipFill>
                  <pic:spPr>
                    <a:xfrm>
                      <a:off x="0" y="0"/>
                      <a:ext cx="5270500" cy="32092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3</w:t>
      </w:r>
    </w:p>
    <w:p>
      <w:pPr>
        <w:pStyle w:val="3"/>
        <w:bidi w:val="0"/>
        <w:rPr>
          <w:rFonts w:hint="default" w:ascii="Times New Roman" w:hAnsi="Times New Roman" w:cs="Times New Roman"/>
          <w:sz w:val="24"/>
          <w:szCs w:val="24"/>
          <w:lang w:val="en-US" w:eastAsia="zh-CN"/>
        </w:rPr>
      </w:pPr>
      <w:bookmarkStart w:id="3" w:name="_Toc7053"/>
      <w:r>
        <w:rPr>
          <w:rFonts w:hint="default" w:ascii="Times New Roman" w:hAnsi="Times New Roman" w:cs="Times New Roman"/>
          <w:lang w:val="en-US" w:eastAsia="zh-CN"/>
        </w:rPr>
        <w:t>2.2单应性变换</w:t>
      </w:r>
      <w:bookmarkEnd w:id="3"/>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计算单应性变换矩阵之前，先获取两张图像对应点的坐标信息。本实验中先读取两张图像，调用之前定义的特征点提取和匹配函数，对两张图像提取特征点并进行匹配，返回特征点坐标、特征点信息和良好的匹配点。</w:t>
      </w:r>
    </w:p>
    <w:p>
      <w:pPr>
        <w:spacing w:line="360" w:lineRule="auto"/>
        <w:ind w:firstLine="420" w:firstLineChars="0"/>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得到特征点信息后，利用RANSAC算法估计单应性变换矩阵，调用cv2.findHomography(src_pts, dst_pts, cv2.RANSAC, 5.0)进行计算得到单应性变换矩阵。接着，利用image2.shape获取图像2的高度和宽度，调用cv2.warpPerspective(image1, H, (width, height))应用计算得到的单应性矩阵，将图像1进行透视变换，使其与图像2对齐。利用np.float32([[0, 0], [0, height - 1], [width - 1, height - 1], [width - 1, 0]]).reshape(-1, 1, 2)定义图像2的四个角点，并利用单应性矩阵cv2.perspectiveTransform(corners, H)将定义的图像2的四个角点进行变换，得到其在拼接后的图像中的位置，再利用cv2.polylines(warped_image, [np.int32(transformed_corners)], True, (255, 255, 255), 3)在经过变换的图像1上绘制图像2在拼接后位置的边界框，以便直观地观察拼接效果。最后，利用cv2.addWeighted(warped_image, 0.5, image2, 0.5, 0)将经过变换的图像1和图像2按一定的权重进行融合，生成最终的拼接图像。</w:t>
      </w:r>
    </w:p>
    <w:p>
      <w:pPr>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272405" cy="3571240"/>
            <wp:effectExtent l="0" t="0" r="10795" b="1016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8"/>
                    <a:stretch>
                      <a:fillRect/>
                    </a:stretch>
                  </pic:blipFill>
                  <pic:spPr>
                    <a:xfrm>
                      <a:off x="0" y="0"/>
                      <a:ext cx="5272405" cy="3571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4</w:t>
      </w:r>
    </w:p>
    <w:p>
      <w:pPr>
        <w:pStyle w:val="3"/>
        <w:bidi w:val="0"/>
        <w:rPr>
          <w:rFonts w:hint="default" w:ascii="Times New Roman" w:hAnsi="Times New Roman" w:cs="Times New Roman"/>
          <w:sz w:val="24"/>
          <w:szCs w:val="24"/>
          <w:lang w:val="en-US" w:eastAsia="zh-CN"/>
        </w:rPr>
      </w:pPr>
      <w:bookmarkStart w:id="4" w:name="_Toc8023"/>
      <w:r>
        <w:rPr>
          <w:rFonts w:hint="default" w:ascii="Times New Roman" w:hAnsi="Times New Roman" w:cs="Times New Roman"/>
          <w:lang w:val="en-US" w:eastAsia="zh-CN"/>
        </w:rPr>
        <w:t>2.3误差计算</w:t>
      </w:r>
      <w:bookmarkEnd w:id="4"/>
    </w:p>
    <w:p>
      <w:pPr>
        <w:spacing w:line="360" w:lineRule="auto"/>
        <w:ind w:firstLine="420" w:firstLineChars="0"/>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在计算得到单应性矩阵后，计算重投影误差来判断得到的单应性矩阵的好坏。首先，调用cv2.perspectiveTransform(src_pts, H)将第一幅图像中提取的特征点根据单应性矩阵转换到第二幅图像中。接着，调用np.sqrt(np.sum((dst_pts - points1_transformed)**2, axis=2))计算重投影误差。最后，计算所有特征点的重投</w:t>
      </w:r>
      <w:r>
        <w:rPr>
          <w:rFonts w:hint="default" w:ascii="Times New Roman" w:hAnsi="Times New Roman" w:eastAsia="宋体" w:cs="Times New Roman"/>
          <w:sz w:val="24"/>
          <w:szCs w:val="24"/>
          <w:lang w:val="en-US" w:eastAsia="zh-CN"/>
        </w:rPr>
        <w:t>影误差。</w:t>
      </w:r>
    </w:p>
    <w:p>
      <w:pPr>
        <w:keepNext w:val="0"/>
        <w:keepLines w:val="0"/>
        <w:pageBreakBefore w:val="0"/>
        <w:widowControl w:val="0"/>
        <w:kinsoku/>
        <w:wordWrap/>
        <w:overflowPunct/>
        <w:topLinePunct w:val="0"/>
        <w:autoSpaceDE/>
        <w:autoSpaceDN/>
        <w:bidi w:val="0"/>
        <w:adjustRightInd/>
        <w:snapToGrid/>
        <w:spacing w:after="156" w:afterLines="50" w:line="240" w:lineRule="auto"/>
        <w:jc w:val="both"/>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38750" cy="1136650"/>
            <wp:effectExtent l="0" t="0" r="635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9"/>
                    <a:stretch>
                      <a:fillRect/>
                    </a:stretch>
                  </pic:blipFill>
                  <pic:spPr>
                    <a:xfrm>
                      <a:off x="0" y="0"/>
                      <a:ext cx="5238750" cy="1136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5</w:t>
      </w: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5" w:name="_Toc25942"/>
      <w:r>
        <w:rPr>
          <w:rFonts w:hint="default" w:ascii="Times New Roman" w:hAnsi="Times New Roman" w:cs="Times New Roman"/>
          <w:sz w:val="32"/>
          <w:szCs w:val="32"/>
          <w:lang w:val="en-US" w:eastAsia="zh-CN"/>
        </w:rPr>
        <w:t>实验结果及分析</w:t>
      </w:r>
      <w:bookmarkEnd w:id="5"/>
    </w:p>
    <w:p>
      <w:pPr>
        <w:tabs>
          <w:tab w:val="center" w:pos="4153"/>
        </w:tabs>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得到的特征点提取和匹配的结果如图6所示，得到的单应性变换矩阵如图7所示，得到图像拼接结果图如图8所示。由于计算单应性矩阵的基础是两幅图像中对应的特征点匹配对的坐标值，当匹配的特征点坐标出现较大误差时，最终计算得到的单应性矩阵也会存在较大误差。当设置距离阈值为0.35时，计算得到的重投影误差为2.2858014，如图9所示的。当设置距离阈值为0.3时，计算得到的重投影误差为3.9061089。当设置距离阈值为0.4时，计算得到的重投影误差为4.3172174。设置距离阈值为0.35时，误差最小，所以最终选择0.35。</w:t>
      </w:r>
    </w:p>
    <w:p>
      <w:pPr>
        <w:tabs>
          <w:tab w:val="center" w:pos="4153"/>
        </w:tabs>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096385" cy="2717165"/>
            <wp:effectExtent l="0" t="0" r="5715" b="635"/>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10"/>
                    <a:stretch>
                      <a:fillRect/>
                    </a:stretch>
                  </pic:blipFill>
                  <pic:spPr>
                    <a:xfrm>
                      <a:off x="0" y="0"/>
                      <a:ext cx="4096385" cy="27171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6</w:t>
      </w:r>
    </w:p>
    <w:p>
      <w:pPr>
        <w:tabs>
          <w:tab w:val="center" w:pos="4153"/>
        </w:tabs>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958715" cy="867410"/>
            <wp:effectExtent l="0" t="0" r="6985" b="889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11"/>
                    <a:stretch>
                      <a:fillRect/>
                    </a:stretch>
                  </pic:blipFill>
                  <pic:spPr>
                    <a:xfrm>
                      <a:off x="0" y="0"/>
                      <a:ext cx="4958715" cy="8674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7</w:t>
      </w:r>
    </w:p>
    <w:p>
      <w:pPr>
        <w:spacing w:line="360" w:lineRule="auto"/>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127250" cy="2819400"/>
            <wp:effectExtent l="0" t="0" r="6350" b="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12"/>
                    <a:stretch>
                      <a:fillRect/>
                    </a:stretch>
                  </pic:blipFill>
                  <pic:spPr>
                    <a:xfrm>
                      <a:off x="0" y="0"/>
                      <a:ext cx="2127250" cy="28194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8</w:t>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3884930" cy="447675"/>
            <wp:effectExtent l="0" t="0" r="1270" b="952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13"/>
                    <a:stretch>
                      <a:fillRect/>
                    </a:stretch>
                  </pic:blipFill>
                  <pic:spPr>
                    <a:xfrm>
                      <a:off x="0" y="0"/>
                      <a:ext cx="3884930" cy="447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DAE4C9"/>
    <w:multiLevelType w:val="singleLevel"/>
    <w:tmpl w:val="32DAE4C9"/>
    <w:lvl w:ilvl="0" w:tentative="0">
      <w:start w:val="1"/>
      <w:numFmt w:val="decimal"/>
      <w:lvlText w:val="%1."/>
      <w:lvlJc w:val="left"/>
      <w:pPr>
        <w:tabs>
          <w:tab w:val="left" w:pos="0"/>
        </w:tabs>
        <w:ind w:left="0" w:firstLine="480"/>
      </w:pPr>
    </w:lvl>
  </w:abstractNum>
  <w:abstractNum w:abstractNumId="1">
    <w:nsid w:val="7138F304"/>
    <w:multiLevelType w:val="singleLevel"/>
    <w:tmpl w:val="7138F304"/>
    <w:lvl w:ilvl="0" w:tentative="0">
      <w:start w:val="1"/>
      <w:numFmt w:val="chineseCounting"/>
      <w:suff w:val="nothing"/>
      <w:lvlText w:val="%1、"/>
      <w:lvlJc w:val="left"/>
      <w:pPr>
        <w:ind w:left="-42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zMDAxYWVmNzRiOTU4NjlhMjQ3MmE2ZGJjNjc1NWIifQ=="/>
  </w:docVars>
  <w:rsids>
    <w:rsidRoot w:val="00000000"/>
    <w:rsid w:val="01F5227C"/>
    <w:rsid w:val="0216603A"/>
    <w:rsid w:val="03CD3E99"/>
    <w:rsid w:val="09866F50"/>
    <w:rsid w:val="09AA2E86"/>
    <w:rsid w:val="0ABE14CD"/>
    <w:rsid w:val="0D986EAA"/>
    <w:rsid w:val="0E1832F7"/>
    <w:rsid w:val="0F5A5032"/>
    <w:rsid w:val="11115410"/>
    <w:rsid w:val="18EA66AB"/>
    <w:rsid w:val="19501972"/>
    <w:rsid w:val="1E2D06E3"/>
    <w:rsid w:val="20B83463"/>
    <w:rsid w:val="21D97C1A"/>
    <w:rsid w:val="223B539B"/>
    <w:rsid w:val="242E2E8B"/>
    <w:rsid w:val="246935D4"/>
    <w:rsid w:val="26450670"/>
    <w:rsid w:val="26782328"/>
    <w:rsid w:val="2B8D524E"/>
    <w:rsid w:val="2CAD1A23"/>
    <w:rsid w:val="30C43CB2"/>
    <w:rsid w:val="318A37CC"/>
    <w:rsid w:val="32257EC4"/>
    <w:rsid w:val="33390B24"/>
    <w:rsid w:val="34D50023"/>
    <w:rsid w:val="35EA6395"/>
    <w:rsid w:val="367F6ACA"/>
    <w:rsid w:val="36B2027A"/>
    <w:rsid w:val="392C6D3C"/>
    <w:rsid w:val="3AD76F41"/>
    <w:rsid w:val="473D491A"/>
    <w:rsid w:val="4B80121F"/>
    <w:rsid w:val="4B9A08AE"/>
    <w:rsid w:val="51B3423B"/>
    <w:rsid w:val="52EA0D4E"/>
    <w:rsid w:val="536F37CA"/>
    <w:rsid w:val="548A011F"/>
    <w:rsid w:val="57836126"/>
    <w:rsid w:val="59090834"/>
    <w:rsid w:val="59B91ACE"/>
    <w:rsid w:val="5E55322C"/>
    <w:rsid w:val="61C64CD9"/>
    <w:rsid w:val="62375C48"/>
    <w:rsid w:val="643E4FFD"/>
    <w:rsid w:val="643F6EC5"/>
    <w:rsid w:val="694128EF"/>
    <w:rsid w:val="698645D3"/>
    <w:rsid w:val="6A520CCE"/>
    <w:rsid w:val="6B2F4BA0"/>
    <w:rsid w:val="6E323F62"/>
    <w:rsid w:val="6EC65323"/>
    <w:rsid w:val="708C57FD"/>
    <w:rsid w:val="72662698"/>
    <w:rsid w:val="790452A2"/>
    <w:rsid w:val="7EA25A29"/>
    <w:rsid w:val="7F39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9"/>
    <w:pPr>
      <w:keepNext/>
      <w:keepLines/>
      <w:spacing w:before="340" w:after="330" w:line="578" w:lineRule="auto"/>
      <w:outlineLvl w:val="0"/>
    </w:pPr>
    <w:rPr>
      <w:b/>
      <w:bCs/>
      <w:kern w:val="44"/>
      <w:sz w:val="30"/>
      <w:szCs w:val="30"/>
    </w:rPr>
  </w:style>
  <w:style w:type="paragraph" w:styleId="3">
    <w:name w:val="heading 2"/>
    <w:basedOn w:val="1"/>
    <w:next w:val="1"/>
    <w:autoRedefine/>
    <w:unhideWhenUsed/>
    <w:qFormat/>
    <w:uiPriority w:val="0"/>
    <w:pPr>
      <w:keepNext/>
      <w:keepLines/>
      <w:spacing w:beforeLines="0" w:beforeAutospacing="0" w:afterLines="0" w:afterAutospacing="0" w:line="360" w:lineRule="auto"/>
      <w:outlineLvl w:val="1"/>
    </w:pPr>
    <w:rPr>
      <w:rFonts w:ascii="Arial" w:hAnsi="Arial" w:eastAsia="宋体"/>
      <w:b/>
      <w:sz w:val="30"/>
    </w:rPr>
  </w:style>
  <w:style w:type="paragraph" w:styleId="4">
    <w:name w:val="heading 3"/>
    <w:basedOn w:val="1"/>
    <w:next w:val="1"/>
    <w:autoRedefine/>
    <w:unhideWhenUsed/>
    <w:qFormat/>
    <w:uiPriority w:val="0"/>
    <w:pPr>
      <w:keepNext/>
      <w:keepLines/>
      <w:spacing w:beforeLines="0" w:beforeAutospacing="0" w:afterLines="0" w:afterAutospacing="0" w:line="360" w:lineRule="auto"/>
      <w:outlineLvl w:val="2"/>
    </w:pPr>
    <w:rPr>
      <w:rFonts w:eastAsia="宋体" w:asciiTheme="minorAscii" w:hAnsiTheme="minorAscii"/>
      <w:b/>
      <w:sz w:val="28"/>
    </w:rPr>
  </w:style>
  <w:style w:type="paragraph" w:styleId="5">
    <w:name w:val="heading 4"/>
    <w:basedOn w:val="1"/>
    <w:next w:val="1"/>
    <w:autoRedefine/>
    <w:unhideWhenUsed/>
    <w:qFormat/>
    <w:uiPriority w:val="0"/>
    <w:pPr>
      <w:keepNext/>
      <w:keepLines/>
      <w:spacing w:beforeLines="0" w:beforeAutospacing="0" w:afterLines="0" w:afterAutospacing="0" w:line="360" w:lineRule="auto"/>
      <w:outlineLvl w:val="3"/>
    </w:pPr>
    <w:rPr>
      <w:rFonts w:ascii="Arial" w:hAnsi="Arial" w:eastAsia="宋体"/>
      <w:b/>
      <w:sz w:val="28"/>
    </w:rPr>
  </w:style>
  <w:style w:type="character" w:default="1" w:styleId="13">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autoRedefine/>
    <w:qFormat/>
    <w:uiPriority w:val="99"/>
    <w:pPr>
      <w:tabs>
        <w:tab w:val="center" w:pos="4510"/>
        <w:tab w:val="right" w:pos="9020"/>
      </w:tabs>
      <w:autoSpaceDE w:val="0"/>
      <w:autoSpaceDN w:val="0"/>
      <w:adjustRightInd w:val="0"/>
      <w:spacing w:line="360" w:lineRule="auto"/>
      <w:ind w:firstLine="420" w:firstLineChars="200"/>
    </w:pPr>
    <w:rPr>
      <w:rFonts w:ascii="Arial" w:hAnsi="Arial"/>
      <w:sz w:val="18"/>
      <w:szCs w:val="18"/>
    </w:rPr>
  </w:style>
  <w:style w:type="paragraph" w:styleId="8">
    <w:name w:val="toc 1"/>
    <w:basedOn w:val="1"/>
    <w:next w:val="1"/>
    <w:autoRedefine/>
    <w:qFormat/>
    <w:uiPriority w:val="0"/>
  </w:style>
  <w:style w:type="paragraph" w:styleId="9">
    <w:name w:val="toc 2"/>
    <w:basedOn w:val="1"/>
    <w:next w:val="1"/>
    <w:autoRedefine/>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TML Code"/>
    <w:basedOn w:val="13"/>
    <w:autoRedefine/>
    <w:qFormat/>
    <w:uiPriority w:val="0"/>
    <w:rPr>
      <w:rFonts w:ascii="Courier New" w:hAnsi="Courier New"/>
      <w:sz w:val="20"/>
    </w:rPr>
  </w:style>
  <w:style w:type="paragraph" w:customStyle="1" w:styleId="15">
    <w:name w:val="TOC Heading"/>
    <w:basedOn w:val="2"/>
    <w:next w:val="1"/>
    <w:autoRedefine/>
    <w:unhideWhenUsed/>
    <w:qFormat/>
    <w:uiPriority w:val="39"/>
    <w:pPr>
      <w:spacing w:before="240" w:after="0" w:line="259" w:lineRule="auto"/>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2024-04-21T10:47:00Z</dcterms:created>
  <dc:creator>林林</dc:creator>
  <cp:lastModifiedBy>林小沸</cp:lastModifiedBy>
  <dcterms:modified xsi:type="dcterms:W3CDTF">2024-05-31T02:06:31Z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3D4C0D733823482DAC0DCB1DA6F169F7_12</vt:lpwstr>
  </property>
</Properties>
</file>