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A365D"/>
          <w:sz w:val="40"/>
        </w:rPr>
        <w:t>Facebook Aura (Muse) 核心提炼与全格式查看器架构报告</w:t>
      </w:r>
    </w:p>
    <w:p>
      <w:pPr>
        <w:jc w:val="center"/>
      </w:pPr>
      <w:r>
        <w:rPr>
          <w:rFonts w:ascii="Songti SC" w:hAnsi="Songti SC" w:eastAsia="Songti SC"/>
          <w:color w:val="64748B"/>
          <w:sz w:val="22"/>
        </w:rPr>
        <w:t>企业级多端文档渲染、离线沙箱与云端桌面集成方案</w:t>
        <w:br/>
        <w:t>2026年10月 · 跨端工程化实践指南</w:t>
      </w:r>
    </w:p>
    <w:p/>
    <w:p>
      <w:r>
        <w:rPr>
          <w:rFonts w:ascii="PingFang SC" w:hAnsi="PingFang SC" w:eastAsia="PingFang SC"/>
          <w:b/>
          <w:color w:val="2B6CB0"/>
          <w:sz w:val="28"/>
        </w:rPr>
        <w:t>一、项目概述与多端通用架构</w:t>
      </w:r>
    </w:p>
    <w:p>
      <w:r>
        <w:rPr>
          <w:rFonts w:ascii="Songti SC" w:hAnsi="Songti SC" w:eastAsia="Songti SC"/>
        </w:rPr>
        <w:t>本工程化项目从 Facebook Aura (Muse 客户端) 中提炼出轻量级全端文档与远程沙箱解决方案。系统采用</w:t>
      </w:r>
      <w:r>
        <w:rPr>
          <w:rFonts w:ascii="PingFang SC" w:hAnsi="PingFang SC" w:eastAsia="PingFang SC"/>
          <w:b/>
          <w:color w:val="C53030"/>
        </w:rPr>
        <w:t>「原生 Native 核心 + 离线轻量 WebView」</w:t>
      </w:r>
      <w:r>
        <w:rPr>
          <w:rFonts w:ascii="Songti SC" w:hAnsi="Songti SC" w:eastAsia="Songti SC"/>
        </w:rPr>
        <w:t>的双层架构。文档引擎解析基于直接二进制注入通道（ArrayBuffer）与标准 URL 加载双通道，全面覆盖 Word (.docx)、Excel (.xlsx)、PowerPoint (.pptx) 以及 PDF 文档的流式排版与原生打印。</w:t>
      </w:r>
    </w:p>
    <w:p>
      <w:pPr>
        <w:ind w:left="576"/>
      </w:pPr>
      <w:r>
        <w:rPr>
          <w:rFonts w:ascii="Kaiti SC" w:hAnsi="Kaiti SC" w:eastAsia="Kaiti SC"/>
          <w:i/>
          <w:color w:val="4A5568"/>
        </w:rPr>
        <w:t>“在移动端离线容器中，通过原生网络层注入 Authorization 标头并将二进制帧中转至前端 Canvas 引擎，是解决 WebView WebSocket 鉴权泄露的最佳实践。”</w:t>
      </w:r>
    </w:p>
    <w:p>
      <w:r>
        <w:rPr>
          <w:rFonts w:ascii="PingFang SC" w:hAnsi="PingFang SC" w:eastAsia="PingFang SC"/>
          <w:b/>
          <w:color w:val="2D3748"/>
          <w:sz w:val="24"/>
        </w:rPr>
        <w:t>二、核心模块指标对比与防御机制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365D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</w:rPr>
              <w:t>功能模块</w:t>
            </w:r>
          </w:p>
        </w:tc>
        <w:tc>
          <w:tcPr>
            <w:tcW w:type="dxa" w:w="2484"/>
            <w:shd w:fill="1A365D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</w:rPr>
              <w:t>底层引擎 / 依赖</w:t>
            </w:r>
          </w:p>
        </w:tc>
        <w:tc>
          <w:tcPr>
            <w:tcW w:type="dxa" w:w="2484"/>
            <w:shd w:fill="1A365D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</w:rPr>
              <w:t>核心防御 / 边界保护</w:t>
            </w:r>
          </w:p>
        </w:tc>
        <w:tc>
          <w:tcPr>
            <w:tcW w:type="dxa" w:w="2484"/>
            <w:shd w:fill="1A365D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</w:rPr>
              <w:t>跨端测试结论</w:t>
            </w:r>
          </w:p>
        </w:tc>
      </w:tr>
      <w:tr>
        <w:tc>
          <w:tcPr>
            <w:tcW w:type="dxa" w:w="2484"/>
            <w:shd w:fill="F7FAFC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Word 查看器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docx-preview + JSZip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OLE 魔数 (d0cf11e0) 预先拦截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95% 视口自适应，完美避让 Inset</w:t>
            </w:r>
          </w:p>
        </w:tc>
      </w:tr>
      <w:tr>
        <w:tc>
          <w:tcPr>
            <w:tcW w:type="dxa" w:w="2484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Excel 表格</w:t>
            </w:r>
          </w:p>
        </w:tc>
        <w:tc>
          <w:tcPr>
            <w:tcW w:type="dxa" w:w="2484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SheetJS (xlsx.full)</w:t>
            </w:r>
          </w:p>
        </w:tc>
        <w:tc>
          <w:tcPr>
            <w:tcW w:type="dxa" w:w="2484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50,000 单元格硬截断防 OOM</w:t>
            </w:r>
          </w:p>
        </w:tc>
        <w:tc>
          <w:tcPr>
            <w:tcW w:type="dxa" w:w="2484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多 Tab 切换顺畅，暗色底白字修正</w:t>
            </w:r>
          </w:p>
        </w:tc>
      </w:tr>
      <w:tr>
        <w:tc>
          <w:tcPr>
            <w:tcW w:type="dxa" w:w="2484"/>
            <w:shd w:fill="F7FAFC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PPT 演示文稿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pptxjs + d3.js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密码保护前置检测与比例自适应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双指手势支持，矢量图元准确渲染</w:t>
            </w:r>
          </w:p>
        </w:tc>
      </w:tr>
      <w:tr>
        <w:tc>
          <w:tcPr>
            <w:tcW w:type="dxa" w:w="2484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PDF 预览打印</w:t>
            </w:r>
          </w:p>
        </w:tc>
        <w:tc>
          <w:tcPr>
            <w:tcW w:type="dxa" w:w="2484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PDF.js + @media print</w:t>
            </w:r>
          </w:p>
        </w:tc>
        <w:tc>
          <w:tcPr>
            <w:tcW w:type="dxa" w:w="2484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流式栅格化 + 原生打印通道</w:t>
            </w:r>
          </w:p>
        </w:tc>
        <w:tc>
          <w:tcPr>
            <w:tcW w:type="dxa" w:w="2484"/>
          </w:tcPr>
          <w:p>
            <w:r>
              <w:rPr>
                <w:rFonts w:ascii="Songti SC" w:hAnsi="Songti SC" w:eastAsia="Songti SC"/>
                <w:color w:val="2D3748"/>
                <w:sz w:val="19"/>
              </w:rPr>
              <w:t>支持系统级 AirPrint / PDF 导出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