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Georgia" w:hAnsi="Georgia"/>
          <w:b/>
          <w:i w:val="0"/>
          <w:color w:val="1A1A2E"/>
          <w:sz w:val="44"/>
        </w:rPr>
        <w:t>How Much of the Post-2017 Marathon Revolution Is the Shoe?</w:t>
      </w:r>
    </w:p>
    <w:p>
      <w:pPr>
        <w:spacing w:after="80"/>
        <w:jc w:val="center"/>
      </w:pPr>
      <w:r>
        <w:rPr>
          <w:rFonts w:ascii="Georgia" w:hAnsi="Georgia"/>
          <w:b w:val="0"/>
          <w:i/>
          <w:color w:val="555555"/>
          <w:sz w:val="26"/>
        </w:rPr>
        <w:t>Three Frameworks, One Estimate</w:t>
      </w:r>
    </w:p>
    <w:p>
      <w:pPr>
        <w:spacing w:after="400"/>
        <w:jc w:val="center"/>
      </w:pPr>
      <w:r>
        <w:rPr>
          <w:rFonts w:ascii="Georgia" w:hAnsi="Georgia"/>
          <w:b w:val="0"/>
          <w:i/>
          <w:color w:val="555555"/>
          <w:sz w:val="22"/>
        </w:rPr>
        <w:t>Jeremy Lee  |  May 2026  |  github.com/lyhjeremy/marathon-shoe-revolution-decomposition</w:t>
      </w:r>
    </w:p>
    <w:p>
      <w:pPr>
        <w:spacing w:before="320" w:after="160"/>
        <w:jc w:val="left"/>
      </w:pPr>
      <w:r>
        <w:rPr>
          <w:rFonts w:ascii="Georgia" w:hAnsi="Georgia"/>
          <w:b/>
          <w:color w:val="1A1A2E"/>
          <w:sz w:val="30"/>
        </w:rPr>
        <w:t>The Question</w:t>
      </w:r>
    </w:p>
    <w:p>
      <w:pPr>
        <w:spacing w:after="120" w:line="336" w:lineRule="auto"/>
        <w:jc w:val="both"/>
      </w:pPr>
      <w:r>
        <w:rPr>
          <w:rFonts w:ascii="Calibri" w:hAnsi="Calibri"/>
          <w:color w:val="1A1A2E"/>
          <w:sz w:val="22"/>
        </w:rPr>
        <w:t>How much of the post-2017 elite marathon improvement is attributable to carbon-plated shoes, vs deeper fields, pacing improvements, altitude training, and other concurrent changes? This short report summarizes the headline numbers from a fuller analysis in the project repository.</w:t>
      </w:r>
    </w:p>
    <w:p>
      <w:pPr>
        <w:spacing w:before="320" w:after="160"/>
        <w:jc w:val="left"/>
      </w:pPr>
      <w:r>
        <w:rPr>
          <w:rFonts w:ascii="Georgia" w:hAnsi="Georgia"/>
          <w:b/>
          <w:color w:val="1A1A2E"/>
          <w:sz w:val="30"/>
        </w:rPr>
        <w:t>The Three Frameworks</w:t>
      </w:r>
    </w:p>
    <w:p>
      <w:pPr>
        <w:spacing w:after="120" w:line="336" w:lineRule="auto"/>
        <w:jc w:val="both"/>
      </w:pPr>
      <w:r>
        <w:rPr>
          <w:rFonts w:ascii="Calibri" w:hAnsi="Calibri"/>
          <w:b/>
          <w:color w:val="1A1A2E"/>
          <w:sz w:val="22"/>
        </w:rPr>
        <w:t>1. Difference-in-Differences:</w:t>
      </w:r>
      <w:r>
        <w:rPr>
          <w:rFonts w:ascii="Calibri" w:hAnsi="Calibri"/>
          <w:color w:val="1A1A2E"/>
          <w:sz w:val="22"/>
        </w:rPr>
        <w:t xml:space="preserve"> compare road marathon improvement to track 10,000m improvement over the same window. The residual road-specific improvement is the shoe-attributable share.</w:t>
      </w:r>
    </w:p>
    <w:p>
      <w:pPr>
        <w:spacing w:after="120" w:line="336" w:lineRule="auto"/>
        <w:jc w:val="both"/>
      </w:pPr>
      <w:r>
        <w:rPr>
          <w:rFonts w:ascii="Calibri" w:hAnsi="Calibri"/>
          <w:b/>
          <w:color w:val="1A1A2E"/>
          <w:sz w:val="22"/>
        </w:rPr>
        <w:t>2. Within-athlete paired:</w:t>
      </w:r>
      <w:r>
        <w:rPr>
          <w:rFonts w:ascii="Calibri" w:hAnsi="Calibri"/>
          <w:color w:val="1A1A2E"/>
          <w:sz w:val="22"/>
        </w:rPr>
        <w:t xml:space="preserve"> same athletes pre-vs-post. Cancels genetics, training history, physiology.</w:t>
      </w:r>
    </w:p>
    <w:p>
      <w:pPr>
        <w:spacing w:after="120" w:line="336" w:lineRule="auto"/>
        <w:jc w:val="both"/>
      </w:pPr>
      <w:r>
        <w:rPr>
          <w:rFonts w:ascii="Calibri" w:hAnsi="Calibri"/>
          <w:b/>
          <w:color w:val="1A1A2E"/>
          <w:sz w:val="22"/>
        </w:rPr>
        <w:t>3. Cohort survival / depth:</w:t>
      </w:r>
      <w:r>
        <w:rPr>
          <w:rFonts w:ascii="Calibri" w:hAnsi="Calibri"/>
          <w:color w:val="1A1A2E"/>
          <w:sz w:val="22"/>
        </w:rPr>
        <w:t xml:space="preserve"> distributional shift in the top-30 elite cohort, with a 55% shoe-attribution share.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7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framework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line="288" w:lineRule="auto"/>
        <w:jc w:val="center"/>
      </w:pPr>
      <w:r>
        <w:rPr>
          <w:rFonts w:ascii="Calibri" w:hAnsi="Calibri"/>
          <w:i/>
          <w:color w:val="888888"/>
          <w:sz w:val="18"/>
        </w:rPr>
        <w:t>Figure 1. The three frameworks plotted on a shared seconds-of-shoe-attributable-improvement x-axis, plus the inverse-CI-width-weighted pooled estimate.</w:t>
      </w:r>
    </w:p>
    <w:p>
      <w:pPr>
        <w:spacing w:before="320" w:after="160"/>
        <w:jc w:val="left"/>
      </w:pPr>
      <w:r>
        <w:rPr>
          <w:rFonts w:ascii="Georgia" w:hAnsi="Georgia"/>
          <w:b/>
          <w:color w:val="1A1A2E"/>
          <w:sz w:val="30"/>
        </w:rPr>
        <w:t>The Answer</w:t>
      </w:r>
    </w:p>
    <w:p>
      <w:pPr>
        <w:spacing w:after="120" w:line="336" w:lineRule="auto"/>
        <w:jc w:val="both"/>
      </w:pPr>
      <w:r>
        <w:rPr>
          <w:rFonts w:ascii="Calibri" w:hAnsi="Calibri"/>
          <w:b/>
          <w:color w:val="1A1A2E"/>
          <w:sz w:val="22"/>
        </w:rPr>
        <w:t>Pooled shoe contribution: 73 seconds, 95% CI -4 to 150 s</w:t>
      </w:r>
      <w:r>
        <w:rPr>
          <w:rFonts w:ascii="Calibri" w:hAnsi="Calibri"/>
          <w:color w:val="1A1A2E"/>
          <w:sz w:val="22"/>
        </w:rPr>
        <w:t>, equivalent to roughly 1.0% of a 2:05 marathon.</w:t>
      </w:r>
    </w:p>
    <w:p>
      <w:pPr>
        <w:spacing w:after="120" w:line="336" w:lineRule="auto"/>
        <w:jc w:val="both"/>
      </w:pPr>
      <w:r>
        <w:rPr>
          <w:rFonts w:ascii="Calibri" w:hAnsi="Calibri"/>
          <w:color w:val="1A1A2E"/>
          <w:sz w:val="22"/>
        </w:rPr>
        <w:t>Framework 1 (DiD): 199 s, 95% CI [83, 338]. Framework 2 (within-athlete): 44 s, 95% CI [-62, 121], n=16, p=0.39. Framework 3 (cohort): 71 s, 95% CI [58, 98], changepoint = 2020.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9494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ub210_frequency_by_ye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line="288" w:lineRule="auto"/>
        <w:jc w:val="center"/>
      </w:pPr>
      <w:r>
        <w:rPr>
          <w:rFonts w:ascii="Calibri" w:hAnsi="Calibri"/>
          <w:i/>
          <w:color w:val="888888"/>
          <w:sz w:val="18"/>
        </w:rPr>
        <w:t>Figure 2. Sub-2:10 (men) and sub-2:25 (women) marathon performances per year, 2010–2024.</w:t>
      </w:r>
    </w:p>
    <w:p>
      <w:pPr>
        <w:spacing w:before="320" w:after="160"/>
        <w:jc w:val="left"/>
      </w:pPr>
      <w:r>
        <w:rPr>
          <w:rFonts w:ascii="Georgia" w:hAnsi="Georgia"/>
          <w:b/>
          <w:color w:val="1A1A2E"/>
          <w:sz w:val="30"/>
        </w:rPr>
        <w:t>What the Data Allows You to Claim</w:t>
      </w:r>
    </w:p>
    <w:p>
      <w:pPr>
        <w:spacing w:after="120" w:line="336" w:lineRule="auto"/>
        <w:jc w:val="both"/>
      </w:pPr>
      <w:r>
        <w:rPr>
          <w:rFonts w:ascii="Calibri" w:hAnsi="Calibri"/>
          <w:color w:val="1A1A2E"/>
          <w:sz w:val="22"/>
        </w:rPr>
        <w:t>Carbon-plated marathon shoes account for measurable, statistically credible improvement in elite marathon times. The contribution is real but smaller than headline framings suggest, around 1% of marathon time, not 4%. The remaining improvement comes from deeper African talent pipelines, pacing improvements, altitude training, and race-craft. Shoes are the most-cited cause because they are the most discrete and dateable, not because they are the largest cause.</w:t>
      </w:r>
    </w:p>
    <w:p>
      <w:pPr>
        <w:spacing w:before="400"/>
        <w:jc w:val="center"/>
      </w:pPr>
      <w:r>
        <w:rPr>
          <w:rFonts w:ascii="Calibri" w:hAnsi="Calibri"/>
          <w:i/>
          <w:color w:val="888888"/>
          <w:sz w:val="18"/>
        </w:rPr>
        <w:t>Full methodology, sensitivity analysis, and limitations at: github.com/lyhjeremy/marathon-shoe-revolution-decomposition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