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ИНФОРМАЦИОННОЕ ПИСЬМО О ЛИЦЕНЗИЯХ И ДОПУСКАХ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Сведения</w:t>
      </w:r>
    </w:p>
    <w:p>
      <w:r>
        <w:t>На дату формирования документа у ООО «КОРТЕРИС» отсутствуют специальные лицензии и членство в СРО.</w:t>
      </w:r>
    </w:p>
    <w:p>
      <w:pPr>
        <w:pStyle w:val="Heading1"/>
      </w:pPr>
      <w:r>
        <w:t>Ограничение участия</w:t>
      </w:r>
    </w:p>
    <w:p>
      <w:r>
        <w:t>Компания рассматривает только закупки, для выполнения которых законодательством и документацией не установлено обязательное наличие отсутствующей лицензии или допуска.</w:t>
      </w:r>
    </w:p>
    <w:p>
      <w:pPr>
        <w:pStyle w:val="Heading1"/>
      </w:pPr>
      <w:r>
        <w:t>Порядок проверки</w:t>
      </w:r>
    </w:p>
    <w:p>
      <w:r>
        <w:t>При выявлении обязательного лицензионного требования программа должна присвоить закупке статус «Не соответствует возможностям компании» до получения необходимого разрешения.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