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8D67" w14:textId="77777777" w:rsidR="00F24EB2" w:rsidRDefault="00F24EB2" w:rsidP="00F24EB2">
      <w:r>
        <w:t>Necesito un análisis de "abogado del diablo", para estas conclusiones que te adjunto. Necesito que identifiques posibles sesgos o variables que no tuve en cuenta a la hora de aplicar estas conclusiones:</w:t>
      </w:r>
    </w:p>
    <w:p w14:paraId="21A2711A" w14:textId="77777777" w:rsidR="00F24EB2" w:rsidRDefault="00F24EB2" w:rsidP="00F24EB2">
      <w:r>
        <w:t>1- "El desempeño de 2026 refleja una clara expansión comercial en la mayoría de los periodos en comparación con 2025, impulsado principalmente por un rendimiento excepcional en marzo y enero. Sin embargo, se observan contracciones puntuales en meses como junio y abril, lo que sugiere la conveniencia de analizar eventos específicos o factores de demanda que afectaron dichos periodos."</w:t>
      </w:r>
    </w:p>
    <w:p w14:paraId="6FD9AD43" w14:textId="77777777" w:rsidR="00F24EB2" w:rsidRDefault="00F24EB2" w:rsidP="00F24EB2">
      <w:r>
        <w:t>2- "La facturación de la empresa presenta una fuerte concentración en la venta de equipamiento físico, con Computación y Periféricos liderando ampliamente la participación del volumen comercial. Esta distribución evidencia una baja penetración de productos intangibles o recurrentes, señalando una oportunidad estratégica para impulsar las categorías de Software y Servicios mediante ofertas vinculadas (</w:t>
      </w:r>
      <w:proofErr w:type="spellStart"/>
      <w:r>
        <w:t>bundling</w:t>
      </w:r>
      <w:proofErr w:type="spellEnd"/>
      <w:r>
        <w:t>) que permitan elevar el margen y diversificar las fuentes de ingresos." </w:t>
      </w:r>
    </w:p>
    <w:p w14:paraId="3F156DDC" w14:textId="77777777" w:rsidR="00F24EB2" w:rsidRPr="00F24EB2" w:rsidRDefault="00F24EB2" w:rsidP="00F24EB2">
      <w:r>
        <w:t>3- "El gráfico de cascada revela una alta inestabilidad mes a mes durante la primera mitad del año, con fluctuaciones de gran magnitud en los ingresos. Aunque las fuertes contracciones de abril, junio y febrero restaron un volumen considerable de facturación, el excelente desempeño de enero, marzo y mayo compensó las pérdidas, logrando un balance global positivo de $51,4 millones al cierre del periodo. Se recomienda implementar mecanismos de previsión y estabilización comercial para suavizar estas variaciones pronunciadas entre meses consecutivos." </w:t>
      </w:r>
      <w:r>
        <w:br/>
      </w:r>
      <w:r>
        <w:br/>
      </w:r>
      <w:r w:rsidRPr="00F24EB2">
        <w:t xml:space="preserve">Aquí tienes un análisis de </w:t>
      </w:r>
      <w:r w:rsidRPr="00F24EB2">
        <w:rPr>
          <w:b/>
          <w:bCs/>
        </w:rPr>
        <w:t>«abogado del diablo»</w:t>
      </w:r>
      <w:r w:rsidRPr="00F24EB2">
        <w:t xml:space="preserve"> para desafiar y fortalecer tus conclusiones antes de presentarlas. El objetivo es anticiparse a las preguntas difíciles o cuestionamientos que podrían hacerte la gerencia, un auditor o un analista financiero.</w:t>
      </w:r>
    </w:p>
    <w:p w14:paraId="3424776D" w14:textId="77777777" w:rsidR="00F24EB2" w:rsidRPr="00F24EB2" w:rsidRDefault="00F24EB2" w:rsidP="00F24EB2">
      <w:pPr>
        <w:rPr>
          <w:b/>
          <w:bCs/>
        </w:rPr>
      </w:pPr>
      <w:r w:rsidRPr="00F24EB2">
        <w:rPr>
          <w:b/>
          <w:bCs/>
        </w:rPr>
        <w:t>1. Sobre la Conclusión de Crecimiento Interanual (2026 vs. 2025)</w:t>
      </w:r>
    </w:p>
    <w:p w14:paraId="760656A7" w14:textId="77777777" w:rsidR="00F24EB2" w:rsidRPr="00F24EB2" w:rsidRDefault="00F24EB2" w:rsidP="00F24EB2">
      <w:r w:rsidRPr="00F24EB2">
        <w:rPr>
          <w:i/>
          <w:iCs/>
        </w:rPr>
        <w:t>"El desempeño de 2026 refleja una clara expansión comercial en la mayoría de los periodos..."</w:t>
      </w:r>
    </w:p>
    <w:p w14:paraId="6C373E80" w14:textId="77777777" w:rsidR="00F24EB2" w:rsidRPr="00F24EB2" w:rsidRDefault="00F24EB2" w:rsidP="00F24EB2">
      <w:r w:rsidRPr="00F24EB2">
        <w:rPr>
          <w:b/>
          <w:bCs/>
        </w:rPr>
        <w:t>Sesgos y variables no consideradas:</w:t>
      </w:r>
    </w:p>
    <w:p w14:paraId="1E659BD4" w14:textId="77777777" w:rsidR="00F24EB2" w:rsidRPr="00F24EB2" w:rsidRDefault="00F24EB2" w:rsidP="00F24EB2">
      <w:pPr>
        <w:numPr>
          <w:ilvl w:val="0"/>
          <w:numId w:val="1"/>
        </w:numPr>
      </w:pPr>
      <w:r w:rsidRPr="00F24EB2">
        <w:rPr>
          <w:b/>
          <w:bCs/>
        </w:rPr>
        <w:t>Efecto de la inflación o tipo de cambio (Impacto Nominal vs. Real):</w:t>
      </w:r>
      <w:r w:rsidRPr="00F24EB2">
        <w:t xml:space="preserve"> Las cifras están expresadas en moneda local (pesos). En contextos inflacionarios, un crecimiento en montos nominales de un año a otro (o picos como el de marzo) no necesariamente implica una mayor venta en </w:t>
      </w:r>
      <w:r w:rsidRPr="00F24EB2">
        <w:lastRenderedPageBreak/>
        <w:t>unidades o volumen real. Si los precios aumentaron un 30% e ingresos un 23,39%, en términos reales la empresa se habría contraído.</w:t>
      </w:r>
    </w:p>
    <w:p w14:paraId="3B17DA13" w14:textId="77777777" w:rsidR="00F24EB2" w:rsidRPr="00F24EB2" w:rsidRDefault="00F24EB2" w:rsidP="00F24EB2">
      <w:pPr>
        <w:numPr>
          <w:ilvl w:val="0"/>
          <w:numId w:val="1"/>
        </w:numPr>
      </w:pPr>
      <w:r w:rsidRPr="00F24EB2">
        <w:rPr>
          <w:b/>
          <w:bCs/>
        </w:rPr>
        <w:t>Sesgo de atribución a "eventos de demanda":</w:t>
      </w:r>
      <w:r w:rsidRPr="00F24EB2">
        <w:t xml:space="preserve"> Asumir que las caídas en abril y junio responden a factores externos de demanda o mercado es un riesgo. Las contracciones podrían ser autoinducidas (p. ej., problemas en la cadena de suministro, quiebres de stock, retrasos en facturación o políticas de crédito más restrictivas).</w:t>
      </w:r>
    </w:p>
    <w:p w14:paraId="1D15DE60" w14:textId="77777777" w:rsidR="00F24EB2" w:rsidRPr="00F24EB2" w:rsidRDefault="00F24EB2" w:rsidP="00F24EB2">
      <w:pPr>
        <w:numPr>
          <w:ilvl w:val="0"/>
          <w:numId w:val="1"/>
        </w:numPr>
      </w:pPr>
      <w:r w:rsidRPr="00F24EB2">
        <w:rPr>
          <w:b/>
          <w:bCs/>
        </w:rPr>
        <w:t>Ausencia de contexto operativo o de inventario:</w:t>
      </w:r>
      <w:r w:rsidRPr="00F24EB2">
        <w:t xml:space="preserve"> El pico masivo en marzo de 2026 seguido de la caída drástica en abril podría indicar simplemente un traslape de facturación (</w:t>
      </w:r>
      <w:proofErr w:type="spellStart"/>
      <w:r w:rsidRPr="00F24EB2">
        <w:rPr>
          <w:i/>
          <w:iCs/>
        </w:rPr>
        <w:t>revenue</w:t>
      </w:r>
      <w:proofErr w:type="spellEnd"/>
      <w:r w:rsidRPr="00F24EB2">
        <w:rPr>
          <w:i/>
          <w:iCs/>
        </w:rPr>
        <w:t xml:space="preserve"> </w:t>
      </w:r>
      <w:proofErr w:type="spellStart"/>
      <w:r w:rsidRPr="00F24EB2">
        <w:rPr>
          <w:i/>
          <w:iCs/>
        </w:rPr>
        <w:t>recognition</w:t>
      </w:r>
      <w:proofErr w:type="spellEnd"/>
      <w:r w:rsidRPr="00F24EB2">
        <w:t>) o la ejecución de una licitación/contrato puntual de gran envergadura, más que un patrón comercial orgánico.</w:t>
      </w:r>
    </w:p>
    <w:p w14:paraId="6B00C9B0" w14:textId="77777777" w:rsidR="00F24EB2" w:rsidRPr="00F24EB2" w:rsidRDefault="00F24EB2" w:rsidP="00F24EB2">
      <w:pPr>
        <w:rPr>
          <w:b/>
          <w:bCs/>
        </w:rPr>
      </w:pPr>
      <w:r w:rsidRPr="00F24EB2">
        <w:rPr>
          <w:b/>
          <w:bCs/>
        </w:rPr>
        <w:t>2. Sobre la Conclusión del Mix de Productos y Categorías</w:t>
      </w:r>
    </w:p>
    <w:p w14:paraId="1846435A" w14:textId="77777777" w:rsidR="00F24EB2" w:rsidRPr="00F24EB2" w:rsidRDefault="00F24EB2" w:rsidP="00F24EB2">
      <w:r w:rsidRPr="00F24EB2">
        <w:rPr>
          <w:i/>
          <w:iCs/>
        </w:rPr>
        <w:t>"...evidencia una baja penetración de productos intangibles... señalando una oportunidad estratégica para impulsar las categorías de Software y Servicios..."</w:t>
      </w:r>
    </w:p>
    <w:p w14:paraId="5A928213" w14:textId="77777777" w:rsidR="00F24EB2" w:rsidRPr="00F24EB2" w:rsidRDefault="00F24EB2" w:rsidP="00F24EB2">
      <w:r w:rsidRPr="00F24EB2">
        <w:rPr>
          <w:b/>
          <w:bCs/>
        </w:rPr>
        <w:t>Sesgos y variables no consideradas:</w:t>
      </w:r>
    </w:p>
    <w:p w14:paraId="4194FD73" w14:textId="77777777" w:rsidR="00F24EB2" w:rsidRPr="00F24EB2" w:rsidRDefault="00F24EB2" w:rsidP="00F24EB2">
      <w:pPr>
        <w:numPr>
          <w:ilvl w:val="0"/>
          <w:numId w:val="2"/>
        </w:numPr>
      </w:pPr>
      <w:r w:rsidRPr="00F24EB2">
        <w:rPr>
          <w:b/>
          <w:bCs/>
        </w:rPr>
        <w:t>Sesgo de "Oportunidad":</w:t>
      </w:r>
      <w:r w:rsidRPr="00F24EB2">
        <w:t xml:space="preserve"> Asumir que una baja participación en Software y Servicios es automáticamente una oportunidad desaprovechada ignora la naturaleza del modelo de negocio. Podría ser que la empresa sea un distribuidor puro de hardware (</w:t>
      </w:r>
      <w:proofErr w:type="spellStart"/>
      <w:r w:rsidRPr="00F24EB2">
        <w:rPr>
          <w:i/>
          <w:iCs/>
        </w:rPr>
        <w:t>wholesaler</w:t>
      </w:r>
      <w:proofErr w:type="spellEnd"/>
      <w:r w:rsidRPr="00F24EB2">
        <w:t>) donde los márgenes de software o servicios son absorbidos por otros canales o proveedores.</w:t>
      </w:r>
    </w:p>
    <w:p w14:paraId="0BCC09DC" w14:textId="77777777" w:rsidR="00F24EB2" w:rsidRPr="00F24EB2" w:rsidRDefault="00F24EB2" w:rsidP="00F24EB2">
      <w:pPr>
        <w:numPr>
          <w:ilvl w:val="0"/>
          <w:numId w:val="2"/>
        </w:numPr>
      </w:pPr>
      <w:r w:rsidRPr="00F24EB2">
        <w:rPr>
          <w:b/>
          <w:bCs/>
        </w:rPr>
        <w:t>Rentabilidad por categoría vs. Volumen de ventas:</w:t>
      </w:r>
      <w:r w:rsidRPr="00F24EB2">
        <w:t xml:space="preserve"> El gráfico muestra la </w:t>
      </w:r>
      <w:r w:rsidRPr="00F24EB2">
        <w:rPr>
          <w:b/>
          <w:bCs/>
        </w:rPr>
        <w:t>tendencia de ventas/facturación</w:t>
      </w:r>
      <w:r w:rsidRPr="00F24EB2">
        <w:t>, no el margen de ganancia por línea. Una categoría como Computación puede facturar volúmenes astronómicos pero operar con márgenes reducidos (3%-5%), mientras que Servicios podría representar poco volumen pero generar el mayor margen operacional. Concluir sin ver la rentabilidad por categoría es una decisión a ciegas.</w:t>
      </w:r>
    </w:p>
    <w:p w14:paraId="2DA2F1AC" w14:textId="77777777" w:rsidR="00F24EB2" w:rsidRPr="00F24EB2" w:rsidRDefault="00F24EB2" w:rsidP="00F24EB2">
      <w:pPr>
        <w:numPr>
          <w:ilvl w:val="0"/>
          <w:numId w:val="2"/>
        </w:numPr>
      </w:pPr>
      <w:r w:rsidRPr="00F24EB2">
        <w:rPr>
          <w:b/>
          <w:bCs/>
        </w:rPr>
        <w:t>Relación de dependencia (</w:t>
      </w:r>
      <w:r w:rsidRPr="00F24EB2">
        <w:rPr>
          <w:b/>
          <w:bCs/>
          <w:i/>
          <w:iCs/>
        </w:rPr>
        <w:t>Hardware-</w:t>
      </w:r>
      <w:proofErr w:type="spellStart"/>
      <w:r w:rsidRPr="00F24EB2">
        <w:rPr>
          <w:b/>
          <w:bCs/>
          <w:i/>
          <w:iCs/>
        </w:rPr>
        <w:t>Driven</w:t>
      </w:r>
      <w:proofErr w:type="spellEnd"/>
      <w:r w:rsidRPr="00F24EB2">
        <w:rPr>
          <w:b/>
          <w:bCs/>
        </w:rPr>
        <w:t>):</w:t>
      </w:r>
      <w:r w:rsidRPr="00F24EB2">
        <w:t xml:space="preserve"> Forzar la venta de Software o Servicios (</w:t>
      </w:r>
      <w:proofErr w:type="spellStart"/>
      <w:r w:rsidRPr="00F24EB2">
        <w:rPr>
          <w:i/>
          <w:iCs/>
        </w:rPr>
        <w:t>bundling</w:t>
      </w:r>
      <w:proofErr w:type="spellEnd"/>
      <w:r w:rsidRPr="00F24EB2">
        <w:t>) podría incrementar el precio final del ticket y reducir la competitividad frente a competidores focalizados únicamente en ofrecer el hardware al menor precio posible.</w:t>
      </w:r>
    </w:p>
    <w:p w14:paraId="5F1E2887" w14:textId="77777777" w:rsidR="00F24EB2" w:rsidRPr="00F24EB2" w:rsidRDefault="00F24EB2" w:rsidP="00F24EB2">
      <w:pPr>
        <w:rPr>
          <w:b/>
          <w:bCs/>
        </w:rPr>
      </w:pPr>
      <w:r w:rsidRPr="00F24EB2">
        <w:rPr>
          <w:b/>
          <w:bCs/>
        </w:rPr>
        <w:t>3. Sobre la Conclusión de Volatilidad y Gráfico de Cascada</w:t>
      </w:r>
    </w:p>
    <w:p w14:paraId="2305A31A" w14:textId="77777777" w:rsidR="00F24EB2" w:rsidRPr="00F24EB2" w:rsidRDefault="00F24EB2" w:rsidP="00F24EB2">
      <w:r w:rsidRPr="00F24EB2">
        <w:rPr>
          <w:i/>
          <w:iCs/>
        </w:rPr>
        <w:t>"...logrando un balance global positivo de $51,4 millones al cierre del periodo. Se recomienda implementar mecanismos de previsión..."</w:t>
      </w:r>
    </w:p>
    <w:p w14:paraId="2A4EF10A" w14:textId="77777777" w:rsidR="00F24EB2" w:rsidRPr="00F24EB2" w:rsidRDefault="00F24EB2" w:rsidP="00F24EB2">
      <w:r w:rsidRPr="00F24EB2">
        <w:rPr>
          <w:b/>
          <w:bCs/>
        </w:rPr>
        <w:t>Sesgos y variables no consideradas:</w:t>
      </w:r>
    </w:p>
    <w:p w14:paraId="3181E93F" w14:textId="17E1FEF0" w:rsidR="00F24EB2" w:rsidRPr="00F24EB2" w:rsidRDefault="00F24EB2" w:rsidP="00F24EB2">
      <w:pPr>
        <w:numPr>
          <w:ilvl w:val="0"/>
          <w:numId w:val="3"/>
        </w:numPr>
      </w:pPr>
      <w:r w:rsidRPr="00F24EB2">
        <w:rPr>
          <w:b/>
          <w:bCs/>
        </w:rPr>
        <w:lastRenderedPageBreak/>
        <w:t>Interpretación del gráfico de Cascada (</w:t>
      </w:r>
      <w:r w:rsidRPr="00F24EB2">
        <w:rPr>
          <w:b/>
          <w:bCs/>
          <w:i/>
          <w:iCs/>
        </w:rPr>
        <w:t>Waterfall</w:t>
      </w:r>
      <w:r w:rsidRPr="00F24EB2">
        <w:rPr>
          <w:b/>
          <w:bCs/>
        </w:rPr>
        <w:t>):</w:t>
      </w:r>
      <w:r w:rsidRPr="00F24EB2">
        <w:t xml:space="preserve"> Un gráfico de cascada mensual muestra </w:t>
      </w:r>
      <w:r w:rsidRPr="00F24EB2">
        <w:rPr>
          <w:b/>
          <w:bCs/>
        </w:rPr>
        <w:t>variaciones netas intermensuales</w:t>
      </w:r>
      <w:r w:rsidRPr="00F24EB2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F24EB2">
        <w:t>), no ganancias o pérdidas operativas acumuladas de la empresa. Un resultado neto positivo de +$51,4M al final del semestre simplemente significa que junio vendió $51,4M más que diciembre de 2025 (o el punto de partida base), no representa necesariamente el beneficio operativo o la caja disponible.</w:t>
      </w:r>
    </w:p>
    <w:p w14:paraId="5FDDDCD8" w14:textId="77777777" w:rsidR="00F24EB2" w:rsidRPr="00F24EB2" w:rsidRDefault="00F24EB2" w:rsidP="00F24EB2">
      <w:pPr>
        <w:numPr>
          <w:ilvl w:val="0"/>
          <w:numId w:val="3"/>
        </w:numPr>
      </w:pPr>
      <w:r w:rsidRPr="00F24EB2">
        <w:rPr>
          <w:b/>
          <w:bCs/>
        </w:rPr>
        <w:t>Confusión entre estacionalidad e inestabilidad:</w:t>
      </w:r>
      <w:r w:rsidRPr="00F24EB2">
        <w:t xml:space="preserve"> Calificar las variaciones como "alta inestabilidad" o "comportamiento errático" puede ser un error si la industria opera con ciclos estacionales predecibles (p. ej., renovación de presupuestos corporativos en Q1/Q3, ciclos lectivos o licitaciones trimestrales).</w:t>
      </w:r>
    </w:p>
    <w:p w14:paraId="5D6E24D5" w14:textId="77777777" w:rsidR="00F24EB2" w:rsidRPr="00F24EB2" w:rsidRDefault="00F24EB2" w:rsidP="00F24EB2">
      <w:pPr>
        <w:numPr>
          <w:ilvl w:val="0"/>
          <w:numId w:val="3"/>
        </w:numPr>
      </w:pPr>
      <w:r w:rsidRPr="00F24EB2">
        <w:rPr>
          <w:b/>
          <w:bCs/>
        </w:rPr>
        <w:t>Soluciones operativas simplificadas:</w:t>
      </w:r>
      <w:r w:rsidRPr="00F24EB2">
        <w:t xml:space="preserve"> Recomendar "suavizar las variaciones" presupone que el flujo plano de ventas es siempre preferible, cuando en realidades comerciales de hardware de alto valor (B2B/licitaciones), los ingresos suelen registrarse naturalmente en bloques discretos (</w:t>
      </w:r>
      <w:proofErr w:type="spellStart"/>
      <w:r w:rsidRPr="00F24EB2">
        <w:rPr>
          <w:i/>
          <w:iCs/>
        </w:rPr>
        <w:t>lumpy</w:t>
      </w:r>
      <w:proofErr w:type="spellEnd"/>
      <w:r w:rsidRPr="00F24EB2">
        <w:rPr>
          <w:i/>
          <w:iCs/>
        </w:rPr>
        <w:t xml:space="preserve"> </w:t>
      </w:r>
      <w:proofErr w:type="spellStart"/>
      <w:r w:rsidRPr="00F24EB2">
        <w:rPr>
          <w:i/>
          <w:iCs/>
        </w:rPr>
        <w:t>revenues</w:t>
      </w:r>
      <w:proofErr w:type="spellEnd"/>
      <w:r w:rsidRPr="00F24EB2">
        <w:t>).</w:t>
      </w:r>
    </w:p>
    <w:p w14:paraId="74CE81D6" w14:textId="6587DB77" w:rsidR="002A385A" w:rsidRDefault="002A385A" w:rsidP="00F24EB2"/>
    <w:sectPr w:rsidR="002A3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AE5"/>
    <w:multiLevelType w:val="multilevel"/>
    <w:tmpl w:val="0CA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55F06"/>
    <w:multiLevelType w:val="multilevel"/>
    <w:tmpl w:val="520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71DBE"/>
    <w:multiLevelType w:val="multilevel"/>
    <w:tmpl w:val="55A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2263">
    <w:abstractNumId w:val="1"/>
  </w:num>
  <w:num w:numId="2" w16cid:durableId="1221214065">
    <w:abstractNumId w:val="2"/>
  </w:num>
  <w:num w:numId="3" w16cid:durableId="102100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B2"/>
    <w:rsid w:val="000051C3"/>
    <w:rsid w:val="002A385A"/>
    <w:rsid w:val="002E6DDA"/>
    <w:rsid w:val="00824811"/>
    <w:rsid w:val="00F2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D221"/>
  <w15:chartTrackingRefBased/>
  <w15:docId w15:val="{6FFA6D68-F8B1-4993-8F35-3DDE61C5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E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4E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Lyko</dc:creator>
  <cp:keywords/>
  <dc:description/>
  <cp:lastModifiedBy>Martin Lyko</cp:lastModifiedBy>
  <cp:revision>1</cp:revision>
  <dcterms:created xsi:type="dcterms:W3CDTF">2026-10-04T19:25:00Z</dcterms:created>
  <dcterms:modified xsi:type="dcterms:W3CDTF">2026-10-04T19:28:00Z</dcterms:modified>
</cp:coreProperties>
</file>