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673C6" w14:textId="77777777" w:rsidR="008D7B93" w:rsidRPr="009D6637" w:rsidRDefault="00840B36" w:rsidP="00D83614">
      <w:pPr>
        <w:pStyle w:val="Title"/>
        <w:spacing w:before="0"/>
        <w:rPr>
          <w:sz w:val="48"/>
          <w:szCs w:val="48"/>
        </w:rPr>
      </w:pPr>
      <w:r w:rsidRPr="009D6637">
        <w:rPr>
          <w:sz w:val="48"/>
          <w:szCs w:val="48"/>
        </w:rPr>
        <w:t>Syllabus</w:t>
      </w:r>
    </w:p>
    <w:p w14:paraId="7B0665BF" w14:textId="6C7AA5F1" w:rsidR="00FF61A2" w:rsidRPr="009D6637" w:rsidRDefault="00A1467D" w:rsidP="00D83614">
      <w:pPr>
        <w:pStyle w:val="Subtitle"/>
        <w:spacing w:before="120" w:after="120"/>
        <w:rPr>
          <w:sz w:val="36"/>
          <w:szCs w:val="36"/>
        </w:rPr>
      </w:pPr>
      <w:r w:rsidRPr="009D6637">
        <w:rPr>
          <w:sz w:val="36"/>
          <w:szCs w:val="36"/>
        </w:rPr>
        <w:t>ISQA 521: Data Visualization</w:t>
      </w:r>
    </w:p>
    <w:p w14:paraId="2D7F8FBF" w14:textId="77777777" w:rsidR="00840B36" w:rsidRDefault="00840B36" w:rsidP="00FF61A2">
      <w:pPr>
        <w:pStyle w:val="Heading1"/>
      </w:pPr>
      <w:r w:rsidRPr="00840B36">
        <w:t>Instructor Information</w:t>
      </w:r>
    </w:p>
    <w:p w14:paraId="19F25DA3" w14:textId="7C45E205" w:rsidR="006A13DD" w:rsidRDefault="006A13DD" w:rsidP="006A13DD">
      <w:pPr>
        <w:rPr>
          <w:rFonts w:cstheme="minorHAnsi"/>
        </w:rPr>
      </w:pPr>
      <w:r w:rsidRPr="006A13DD">
        <w:rPr>
          <w:rFonts w:cstheme="minorHAnsi"/>
          <w:b/>
        </w:rPr>
        <w:t>Instructor</w:t>
      </w:r>
      <w:r>
        <w:rPr>
          <w:rFonts w:cstheme="minorHAnsi"/>
        </w:rPr>
        <w:t>: David W. Gerbing, Ph.D.</w:t>
      </w:r>
      <w:r>
        <w:rPr>
          <w:rFonts w:cstheme="minorHAnsi"/>
        </w:rPr>
        <w:br/>
      </w:r>
      <w:r w:rsidRPr="006A13DD">
        <w:rPr>
          <w:rFonts w:cstheme="minorHAnsi"/>
          <w:b/>
        </w:rPr>
        <w:t>Phone number:</w:t>
      </w:r>
      <w:r>
        <w:rPr>
          <w:rFonts w:cstheme="minorHAnsi"/>
        </w:rPr>
        <w:t xml:space="preserve"> 503.725.4767</w:t>
      </w:r>
      <w:r w:rsidR="0046309C">
        <w:rPr>
          <w:rFonts w:cstheme="minorHAnsi"/>
        </w:rPr>
        <w:t xml:space="preserve">  [best during in-office hours]</w:t>
      </w:r>
      <w:r w:rsidR="009D6637">
        <w:rPr>
          <w:rFonts w:cstheme="minorHAnsi"/>
        </w:rPr>
        <w:br/>
      </w:r>
      <w:r w:rsidR="009D6637" w:rsidRPr="009D6637">
        <w:rPr>
          <w:rFonts w:cstheme="minorHAnsi"/>
          <w:b/>
        </w:rPr>
        <w:t>Office</w:t>
      </w:r>
      <w:r w:rsidR="009D6637">
        <w:rPr>
          <w:rFonts w:cstheme="minorHAnsi"/>
        </w:rPr>
        <w:t>: 550D SB</w:t>
      </w:r>
      <w:r>
        <w:rPr>
          <w:rFonts w:cstheme="minorHAnsi"/>
        </w:rPr>
        <w:br/>
      </w:r>
      <w:r w:rsidRPr="006A13DD">
        <w:rPr>
          <w:rFonts w:cstheme="minorHAnsi"/>
          <w:b/>
        </w:rPr>
        <w:t xml:space="preserve">Office Hours: </w:t>
      </w:r>
      <w:r w:rsidR="00933D15">
        <w:rPr>
          <w:rFonts w:cstheme="minorHAnsi"/>
        </w:rPr>
        <w:t xml:space="preserve"> Online</w:t>
      </w:r>
      <w:r w:rsidR="009D6637">
        <w:rPr>
          <w:rFonts w:cstheme="minorHAnsi"/>
        </w:rPr>
        <w:t xml:space="preserve"> </w:t>
      </w:r>
      <w:r w:rsidR="00933D15">
        <w:rPr>
          <w:rFonts w:cstheme="minorHAnsi"/>
        </w:rPr>
        <w:t>Sunday 6pm</w:t>
      </w:r>
      <w:r w:rsidR="009D6637">
        <w:rPr>
          <w:rFonts w:cstheme="minorHAnsi"/>
        </w:rPr>
        <w:t>; Office Wed 3:30-4:30</w:t>
      </w:r>
    </w:p>
    <w:p w14:paraId="46D0470C" w14:textId="782879AB" w:rsidR="00933D15" w:rsidRDefault="00933D15" w:rsidP="008946DC">
      <w:pPr>
        <w:spacing w:before="120" w:after="0" w:line="240" w:lineRule="auto"/>
        <w:rPr>
          <w:rFonts w:eastAsia="Times New Roman" w:cstheme="minorHAnsi"/>
        </w:rPr>
      </w:pPr>
      <w:r w:rsidRPr="006A13DD">
        <w:rPr>
          <w:rFonts w:cstheme="minorHAnsi"/>
          <w:b/>
        </w:rPr>
        <w:t>Email:</w:t>
      </w:r>
      <w:r>
        <w:rPr>
          <w:rFonts w:cstheme="minorHAnsi"/>
        </w:rPr>
        <w:t xml:space="preserve"> </w:t>
      </w:r>
      <w:hyperlink r:id="rId5" w:history="1">
        <w:r w:rsidRPr="004468C0">
          <w:rPr>
            <w:rStyle w:val="Hyperlink"/>
            <w:rFonts w:cstheme="minorHAnsi"/>
          </w:rPr>
          <w:t>gerbing@pdx.edu</w:t>
        </w:r>
      </w:hyperlink>
      <w:r>
        <w:rPr>
          <w:rFonts w:cstheme="minorHAnsi"/>
        </w:rPr>
        <w:br/>
      </w:r>
      <w:r w:rsidRPr="00933D15">
        <w:rPr>
          <w:rFonts w:eastAsia="Times New Roman" w:cstheme="minorHAnsi"/>
        </w:rPr>
        <w:t xml:space="preserve">→ For me to read and respond to your emails, place </w:t>
      </w:r>
      <w:r w:rsidR="009D6637">
        <w:rPr>
          <w:rFonts w:eastAsia="Times New Roman" w:cstheme="minorHAnsi"/>
        </w:rPr>
        <w:t>521</w:t>
      </w:r>
      <w:r w:rsidRPr="00933D15">
        <w:rPr>
          <w:rFonts w:eastAsia="Times New Roman" w:cstheme="minorHAnsi"/>
        </w:rPr>
        <w:t xml:space="preserve"> somewhere in the subject line. </w:t>
      </w:r>
      <w:r>
        <w:rPr>
          <w:rFonts w:eastAsia="Times New Roman" w:cstheme="minorHAnsi"/>
          <w:sz w:val="24"/>
          <w:szCs w:val="24"/>
        </w:rPr>
        <w:br/>
      </w:r>
      <w:r w:rsidRPr="00933D15">
        <w:rPr>
          <w:rFonts w:eastAsia="Times New Roman" w:cstheme="minorHAnsi"/>
        </w:rPr>
        <w:t xml:space="preserve">→ Avoid D2L email because it is not real email. No response is possible outside of D2L. </w:t>
      </w:r>
    </w:p>
    <w:p w14:paraId="337EE897" w14:textId="77777777" w:rsidR="008946DC" w:rsidRPr="00933D15" w:rsidRDefault="008946DC" w:rsidP="008946DC">
      <w:pPr>
        <w:spacing w:before="120" w:after="120" w:line="240" w:lineRule="auto"/>
        <w:rPr>
          <w:rFonts w:eastAsia="Times New Roman" w:cstheme="minorHAnsi"/>
          <w:color w:val="FF00FF"/>
        </w:rPr>
      </w:pPr>
      <w:r w:rsidRPr="00933D15">
        <w:rPr>
          <w:rFonts w:eastAsia="Times New Roman" w:cstheme="minorHAnsi"/>
        </w:rPr>
        <w:t xml:space="preserve">Google Hangouts Video Conference: Bookmark – </w:t>
      </w:r>
      <w:r w:rsidRPr="00933D15">
        <w:rPr>
          <w:rFonts w:eastAsia="Times New Roman" w:cstheme="minorHAnsi"/>
          <w:color w:val="C00000"/>
        </w:rPr>
        <w:t>URL</w:t>
      </w:r>
      <w:r w:rsidRPr="00933D15">
        <w:rPr>
          <w:rFonts w:eastAsia="Times New Roman" w:cstheme="minorHAnsi"/>
          <w:color w:val="FF00FF"/>
        </w:rPr>
        <w:t xml:space="preserve"> </w:t>
      </w:r>
      <w:r w:rsidRPr="00933D15">
        <w:rPr>
          <w:rFonts w:eastAsia="Times New Roman" w:cstheme="minorHAnsi"/>
        </w:rPr>
        <w:t xml:space="preserve">we use all term </w:t>
      </w:r>
      <w:r>
        <w:rPr>
          <w:rFonts w:eastAsia="Times New Roman" w:cstheme="minorHAnsi"/>
          <w:sz w:val="24"/>
          <w:szCs w:val="24"/>
        </w:rPr>
        <w:br/>
      </w:r>
      <w:r w:rsidRPr="00933D15">
        <w:rPr>
          <w:rFonts w:eastAsia="Times New Roman" w:cstheme="minorHAnsi"/>
          <w:color w:val="C00000"/>
        </w:rPr>
        <w:t>https://hangouts.google.com/hangouts/_/pdx.edu/gerbing</w:t>
      </w:r>
    </w:p>
    <w:p w14:paraId="56E3120F" w14:textId="77777777" w:rsidR="00840B36" w:rsidRDefault="00840B36" w:rsidP="00FF61A2">
      <w:pPr>
        <w:pStyle w:val="Heading1"/>
      </w:pPr>
      <w:r w:rsidRPr="00840B36">
        <w:t>Course Description</w:t>
      </w:r>
    </w:p>
    <w:p w14:paraId="4AD3BDF8" w14:textId="278AEC83" w:rsidR="00D83614" w:rsidRDefault="006A13DD" w:rsidP="00D83614">
      <w:r w:rsidRPr="006A13DD">
        <w:t>This class overviews some of the most useful data visualizations, i.e., computer graphics, that are applied in modern data analytics</w:t>
      </w:r>
      <w:r w:rsidR="009D6637">
        <w:t xml:space="preserve"> via the languages</w:t>
      </w:r>
      <w:r w:rsidRPr="006A13DD">
        <w:t xml:space="preserve"> R and Tableau. </w:t>
      </w:r>
      <w:r w:rsidR="009D6637">
        <w:t>The</w:t>
      </w:r>
      <w:r w:rsidRPr="006A13DD">
        <w:t xml:space="preserve"> R</w:t>
      </w:r>
      <w:r w:rsidR="009D6637">
        <w:t xml:space="preserve"> visualizations follow from what has emerged as the standard R visualization system, the </w:t>
      </w:r>
      <w:r w:rsidRPr="006A13DD">
        <w:t>ggplot2</w:t>
      </w:r>
      <w:r w:rsidR="009D6637">
        <w:t xml:space="preserve"> package, as well as </w:t>
      </w:r>
      <w:r w:rsidRPr="006A13DD">
        <w:t>from my own R package, lessR. R runs the same on Windows, Macintosh or Linux/Unix. The last week of the course introduces the Tableau system, which unlike R, is not a general programming system, but does provide easy to use powerful graphics capabilities, in either Windows or Macintosh.</w:t>
      </w:r>
    </w:p>
    <w:p w14:paraId="74B29436" w14:textId="77777777" w:rsidR="007E1756" w:rsidRDefault="007E1756" w:rsidP="007E1756">
      <w:pPr>
        <w:rPr>
          <w:rStyle w:val="Hyperlink"/>
          <w:rFonts w:cstheme="minorHAnsi"/>
        </w:rPr>
      </w:pPr>
      <w:r w:rsidRPr="006A13DD">
        <w:rPr>
          <w:rFonts w:cstheme="minorHAnsi"/>
        </w:rPr>
        <w:t>This course is a fully-online course</w:t>
      </w:r>
      <w:r>
        <w:rPr>
          <w:rFonts w:cstheme="minorHAnsi"/>
        </w:rPr>
        <w:t xml:space="preserve">, </w:t>
      </w:r>
      <w:r w:rsidRPr="006A13DD">
        <w:rPr>
          <w:rFonts w:cstheme="minorHAnsi"/>
        </w:rPr>
        <w:t xml:space="preserve">accessible at the D2L PSU site. </w:t>
      </w:r>
      <w:r>
        <w:rPr>
          <w:rFonts w:cstheme="minorHAnsi"/>
        </w:rPr>
        <w:br/>
      </w:r>
      <w:r w:rsidRPr="006A13DD">
        <w:rPr>
          <w:rFonts w:cstheme="minorHAnsi"/>
        </w:rPr>
        <w:t xml:space="preserve">If you have any difficulty entering the course or with D2L, please contact the </w:t>
      </w:r>
      <w:hyperlink r:id="rId6" w:history="1">
        <w:r w:rsidRPr="006A13DD">
          <w:rPr>
            <w:rStyle w:val="Hyperlink"/>
            <w:rFonts w:cstheme="minorHAnsi"/>
          </w:rPr>
          <w:t xml:space="preserve">OIT Helpdesk. </w:t>
        </w:r>
      </w:hyperlink>
    </w:p>
    <w:p w14:paraId="01ECE317" w14:textId="77777777" w:rsidR="007E1756" w:rsidRPr="005839B2" w:rsidRDefault="007E1756" w:rsidP="007E1756">
      <w:r>
        <w:t xml:space="preserve">Post </w:t>
      </w:r>
      <w:r w:rsidRPr="005839B2">
        <w:t>questions about the course in the "General Questions" discussion forum. A peer may be able to quickly answer your question. I will also reply in the forum so that the entire class can benefit.</w:t>
      </w:r>
    </w:p>
    <w:p w14:paraId="17A01E2E" w14:textId="318A1173" w:rsidR="007E1756" w:rsidRDefault="007E1756" w:rsidP="00D83614">
      <w:r>
        <w:rPr>
          <w:rStyle w:val="Strong"/>
          <w:rFonts w:eastAsiaTheme="majorEastAsia" w:cstheme="minorHAnsi"/>
          <w:b w:val="0"/>
        </w:rPr>
        <w:t>Check the D2L announcements on a regular basis.</w:t>
      </w:r>
    </w:p>
    <w:p w14:paraId="7A38C465" w14:textId="3F4B67A3" w:rsidR="00840B36" w:rsidRDefault="00840B36" w:rsidP="00D83614">
      <w:pPr>
        <w:pStyle w:val="Heading1"/>
        <w:keepNext w:val="0"/>
        <w:keepLines w:val="0"/>
        <w:widowControl w:val="0"/>
      </w:pPr>
      <w:r w:rsidRPr="00840B36">
        <w:t>Course Objectives</w:t>
      </w:r>
    </w:p>
    <w:p w14:paraId="360D2348" w14:textId="77777777" w:rsidR="006A13DD" w:rsidRPr="006A13DD" w:rsidRDefault="006A13DD" w:rsidP="00D83614">
      <w:pPr>
        <w:pStyle w:val="Heading1"/>
        <w:keepNext w:val="0"/>
        <w:keepLines w:val="0"/>
        <w:widowControl w:val="0"/>
        <w:spacing w:before="120"/>
        <w:rPr>
          <w:rFonts w:asciiTheme="minorHAnsi" w:eastAsiaTheme="minorHAnsi" w:hAnsiTheme="minorHAnsi" w:cstheme="minorBidi"/>
          <w:color w:val="auto"/>
          <w:sz w:val="22"/>
          <w:szCs w:val="22"/>
        </w:rPr>
      </w:pPr>
      <w:r w:rsidRPr="006A13DD">
        <w:rPr>
          <w:rFonts w:asciiTheme="minorHAnsi" w:eastAsiaTheme="minorHAnsi" w:hAnsiTheme="minorHAnsi" w:cstheme="minorBidi"/>
          <w:color w:val="auto"/>
          <w:sz w:val="22"/>
          <w:szCs w:val="22"/>
        </w:rPr>
        <w:t>Upon completion of this course, students will understand the following areas:</w:t>
      </w:r>
    </w:p>
    <w:p w14:paraId="310F4258" w14:textId="39FDB2EA" w:rsidR="006A13DD" w:rsidRPr="006A13DD" w:rsidRDefault="006A13DD" w:rsidP="00D83614">
      <w:pPr>
        <w:pStyle w:val="Heading1"/>
        <w:keepNext w:val="0"/>
        <w:keepLines w:val="0"/>
        <w:widowControl w:val="0"/>
        <w:numPr>
          <w:ilvl w:val="0"/>
          <w:numId w:val="29"/>
        </w:numPr>
        <w:spacing w:before="120"/>
        <w:rPr>
          <w:rFonts w:asciiTheme="minorHAnsi" w:eastAsiaTheme="minorHAnsi" w:hAnsiTheme="minorHAnsi" w:cstheme="minorBidi"/>
          <w:color w:val="auto"/>
          <w:sz w:val="22"/>
          <w:szCs w:val="22"/>
        </w:rPr>
      </w:pPr>
      <w:r w:rsidRPr="006A13DD">
        <w:rPr>
          <w:rFonts w:asciiTheme="minorHAnsi" w:eastAsiaTheme="minorHAnsi" w:hAnsiTheme="minorHAnsi" w:cstheme="minorBidi"/>
          <w:color w:val="auto"/>
          <w:sz w:val="22"/>
          <w:szCs w:val="22"/>
        </w:rPr>
        <w:t>Define the steps in a data analytics project and understand the role of data visualization in this process, including as an outcome of the process for the communication of results.</w:t>
      </w:r>
    </w:p>
    <w:p w14:paraId="317104DC" w14:textId="4DFCC49C" w:rsidR="006A13DD" w:rsidRPr="006A13DD" w:rsidRDefault="006A13DD" w:rsidP="00D83614">
      <w:pPr>
        <w:pStyle w:val="Heading1"/>
        <w:keepNext w:val="0"/>
        <w:keepLines w:val="0"/>
        <w:widowControl w:val="0"/>
        <w:numPr>
          <w:ilvl w:val="0"/>
          <w:numId w:val="29"/>
        </w:numPr>
        <w:spacing w:before="120"/>
        <w:rPr>
          <w:rFonts w:asciiTheme="minorHAnsi" w:eastAsiaTheme="minorHAnsi" w:hAnsiTheme="minorHAnsi" w:cstheme="minorBidi"/>
          <w:color w:val="auto"/>
          <w:sz w:val="22"/>
          <w:szCs w:val="22"/>
        </w:rPr>
      </w:pPr>
      <w:r w:rsidRPr="006A13DD">
        <w:rPr>
          <w:rFonts w:asciiTheme="minorHAnsi" w:eastAsiaTheme="minorHAnsi" w:hAnsiTheme="minorHAnsi" w:cstheme="minorBidi"/>
          <w:color w:val="auto"/>
          <w:sz w:val="22"/>
          <w:szCs w:val="22"/>
        </w:rPr>
        <w:t xml:space="preserve">Learn to apply </w:t>
      </w:r>
      <w:r w:rsidR="00D83614">
        <w:rPr>
          <w:rFonts w:asciiTheme="minorHAnsi" w:eastAsiaTheme="minorHAnsi" w:hAnsiTheme="minorHAnsi" w:cstheme="minorBidi"/>
          <w:color w:val="auto"/>
          <w:sz w:val="22"/>
          <w:szCs w:val="22"/>
        </w:rPr>
        <w:t>R</w:t>
      </w:r>
      <w:r w:rsidR="00D83614" w:rsidRPr="006A13DD">
        <w:rPr>
          <w:rFonts w:asciiTheme="minorHAnsi" w:eastAsiaTheme="minorHAnsi" w:hAnsiTheme="minorHAnsi" w:cstheme="minorBidi"/>
          <w:color w:val="auto"/>
          <w:sz w:val="22"/>
          <w:szCs w:val="22"/>
        </w:rPr>
        <w:t xml:space="preserve"> and Tableau </w:t>
      </w:r>
      <w:r w:rsidRPr="006A13DD">
        <w:rPr>
          <w:rFonts w:asciiTheme="minorHAnsi" w:eastAsiaTheme="minorHAnsi" w:hAnsiTheme="minorHAnsi" w:cstheme="minorBidi"/>
          <w:color w:val="auto"/>
          <w:sz w:val="22"/>
          <w:szCs w:val="22"/>
        </w:rPr>
        <w:t>software packages to accomplish data analytics:.</w:t>
      </w:r>
    </w:p>
    <w:p w14:paraId="57D42C0F" w14:textId="77777777" w:rsidR="006A13DD" w:rsidRPr="006A13DD" w:rsidRDefault="006A13DD" w:rsidP="00D83614">
      <w:pPr>
        <w:pStyle w:val="Heading1"/>
        <w:keepNext w:val="0"/>
        <w:keepLines w:val="0"/>
        <w:widowControl w:val="0"/>
        <w:numPr>
          <w:ilvl w:val="0"/>
          <w:numId w:val="29"/>
        </w:numPr>
        <w:spacing w:before="120"/>
        <w:rPr>
          <w:rFonts w:asciiTheme="minorHAnsi" w:eastAsiaTheme="minorHAnsi" w:hAnsiTheme="minorHAnsi" w:cstheme="minorBidi"/>
          <w:color w:val="auto"/>
          <w:sz w:val="22"/>
          <w:szCs w:val="22"/>
        </w:rPr>
      </w:pPr>
      <w:r w:rsidRPr="006A13DD">
        <w:rPr>
          <w:rFonts w:asciiTheme="minorHAnsi" w:eastAsiaTheme="minorHAnsi" w:hAnsiTheme="minorHAnsi" w:cstheme="minorBidi"/>
          <w:color w:val="auto"/>
          <w:sz w:val="22"/>
          <w:szCs w:val="22"/>
        </w:rPr>
        <w:t>Know how to interpret the various types of graphs, and know which graphs are most applicable to different situations.</w:t>
      </w:r>
    </w:p>
    <w:p w14:paraId="4C117500" w14:textId="77777777" w:rsidR="00840B36" w:rsidRDefault="00694E7C" w:rsidP="00FF61A2">
      <w:pPr>
        <w:pStyle w:val="Heading1"/>
      </w:pPr>
      <w:r>
        <w:lastRenderedPageBreak/>
        <w:t>Academic Connections o</w:t>
      </w:r>
      <w:r w:rsidR="00840B36" w:rsidRPr="00840B36">
        <w:t>f This Course</w:t>
      </w:r>
    </w:p>
    <w:p w14:paraId="54C269E6" w14:textId="32E91F96" w:rsidR="00840B36" w:rsidRDefault="006A13DD" w:rsidP="00FF61A2">
      <w:r w:rsidRPr="006A13DD">
        <w:t xml:space="preserve">ISQA 521 is one of the required courses towards the completion of a </w:t>
      </w:r>
      <w:hyperlink r:id="rId7" w:history="1">
        <w:r w:rsidRPr="006A13DD">
          <w:rPr>
            <w:rStyle w:val="Hyperlink"/>
          </w:rPr>
          <w:t>graduate-level certificate</w:t>
        </w:r>
      </w:hyperlink>
      <w:r w:rsidRPr="006A13DD">
        <w:t xml:space="preserve"> in Data Analytics. This course may also be used towards other degrees; please consult the </w:t>
      </w:r>
      <w:hyperlink r:id="rId8" w:history="1">
        <w:r w:rsidRPr="006A13DD">
          <w:rPr>
            <w:rStyle w:val="Hyperlink"/>
          </w:rPr>
          <w:t>SB Department website</w:t>
        </w:r>
      </w:hyperlink>
      <w:r w:rsidRPr="006A13DD">
        <w:t xml:space="preserve"> a</w:t>
      </w:r>
      <w:r>
        <w:t xml:space="preserve">nd your adviser to learn more. </w:t>
      </w:r>
    </w:p>
    <w:p w14:paraId="5C2F1857" w14:textId="79A8941E" w:rsidR="00840B36" w:rsidRDefault="00840B36" w:rsidP="00FF61A2">
      <w:pPr>
        <w:pStyle w:val="Heading1"/>
      </w:pPr>
      <w:r w:rsidRPr="00840B36">
        <w:t>Assignments</w:t>
      </w:r>
      <w:r w:rsidR="00B83CCD">
        <w:t xml:space="preserve"> &amp; Grading</w:t>
      </w:r>
    </w:p>
    <w:tbl>
      <w:tblPr>
        <w:tblStyle w:val="PlainTable1"/>
        <w:tblW w:w="5000" w:type="pct"/>
        <w:jc w:val="center"/>
        <w:tblLook w:val="04A0" w:firstRow="1" w:lastRow="0" w:firstColumn="1" w:lastColumn="0" w:noHBand="0" w:noVBand="1"/>
        <w:tblDescription w:val="Assignments"/>
      </w:tblPr>
      <w:tblGrid>
        <w:gridCol w:w="2155"/>
        <w:gridCol w:w="5490"/>
        <w:gridCol w:w="1705"/>
      </w:tblGrid>
      <w:tr w:rsidR="006A13DD" w:rsidRPr="008F67C6" w14:paraId="7A5B1B77" w14:textId="77777777" w:rsidTr="006A13DD">
        <w:trPr>
          <w:cnfStyle w:val="100000000000" w:firstRow="1" w:lastRow="0" w:firstColumn="0" w:lastColumn="0" w:oddVBand="0" w:evenVBand="0" w:oddHBand="0" w:evenHBand="0" w:firstRowFirstColumn="0" w:firstRowLastColumn="0" w:lastRowFirstColumn="0" w:lastRowLastColumn="0"/>
          <w:trHeight w:val="511"/>
          <w:tblHeader/>
          <w:jc w:val="center"/>
        </w:trPr>
        <w:tc>
          <w:tcPr>
            <w:cnfStyle w:val="001000000000" w:firstRow="0" w:lastRow="0" w:firstColumn="1" w:lastColumn="0" w:oddVBand="0" w:evenVBand="0" w:oddHBand="0" w:evenHBand="0" w:firstRowFirstColumn="0" w:firstRowLastColumn="0" w:lastRowFirstColumn="0" w:lastRowLastColumn="0"/>
            <w:tcW w:w="1152" w:type="pct"/>
            <w:shd w:val="clear" w:color="auto" w:fill="DEEAF6" w:themeFill="accent1" w:themeFillTint="33"/>
          </w:tcPr>
          <w:p w14:paraId="71209AD7" w14:textId="30B51A0D" w:rsidR="006A13DD" w:rsidRPr="008F67C6" w:rsidRDefault="006A13DD" w:rsidP="00702DC2">
            <w:r>
              <w:t>Grade Item</w:t>
            </w:r>
          </w:p>
        </w:tc>
        <w:tc>
          <w:tcPr>
            <w:tcW w:w="2936" w:type="pct"/>
            <w:shd w:val="clear" w:color="auto" w:fill="DEEAF6" w:themeFill="accent1" w:themeFillTint="33"/>
          </w:tcPr>
          <w:p w14:paraId="3EDBC618" w14:textId="74CB7199" w:rsidR="006A13DD" w:rsidRDefault="006A13DD" w:rsidP="00702DC2">
            <w:pPr>
              <w:cnfStyle w:val="100000000000" w:firstRow="1" w:lastRow="0" w:firstColumn="0" w:lastColumn="0" w:oddVBand="0" w:evenVBand="0" w:oddHBand="0" w:evenHBand="0" w:firstRowFirstColumn="0" w:firstRowLastColumn="0" w:lastRowFirstColumn="0" w:lastRowLastColumn="0"/>
            </w:pPr>
            <w:r>
              <w:t>Description</w:t>
            </w:r>
          </w:p>
        </w:tc>
        <w:tc>
          <w:tcPr>
            <w:tcW w:w="912" w:type="pct"/>
            <w:shd w:val="clear" w:color="auto" w:fill="DEEAF6" w:themeFill="accent1" w:themeFillTint="33"/>
          </w:tcPr>
          <w:p w14:paraId="0AE1134F" w14:textId="27855194" w:rsidR="006A13DD" w:rsidRPr="008F67C6" w:rsidRDefault="006A13DD" w:rsidP="006A13DD">
            <w:pPr>
              <w:cnfStyle w:val="100000000000" w:firstRow="1" w:lastRow="0" w:firstColumn="0" w:lastColumn="0" w:oddVBand="0" w:evenVBand="0" w:oddHBand="0" w:evenHBand="0" w:firstRowFirstColumn="0" w:firstRowLastColumn="0" w:lastRowFirstColumn="0" w:lastRowLastColumn="0"/>
            </w:pPr>
            <w:r>
              <w:t>Grade Points</w:t>
            </w:r>
          </w:p>
        </w:tc>
      </w:tr>
      <w:tr w:rsidR="006A13DD" w14:paraId="25424046" w14:textId="77777777" w:rsidTr="006A13D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52" w:type="pct"/>
          </w:tcPr>
          <w:p w14:paraId="3EF50DF8" w14:textId="0D784E81" w:rsidR="006A13DD" w:rsidRDefault="006A13DD" w:rsidP="00702DC2">
            <w:r w:rsidRPr="006A13DD">
              <w:t>Weekly Homework</w:t>
            </w:r>
          </w:p>
        </w:tc>
        <w:tc>
          <w:tcPr>
            <w:tcW w:w="2936" w:type="pct"/>
          </w:tcPr>
          <w:p w14:paraId="354E706F" w14:textId="71155E4D" w:rsidR="006A13DD" w:rsidRDefault="006A13DD" w:rsidP="00702DC2">
            <w:pPr>
              <w:cnfStyle w:val="000000100000" w:firstRow="0" w:lastRow="0" w:firstColumn="0" w:lastColumn="0" w:oddVBand="0" w:evenVBand="0" w:oddHBand="1" w:evenHBand="0" w:firstRowFirstColumn="0" w:firstRowLastColumn="0" w:lastRowFirstColumn="0" w:lastRowLastColumn="0"/>
            </w:pPr>
            <w:r w:rsidRPr="006A13DD">
              <w:t>Scope and final dues dates are in d2L calendar</w:t>
            </w:r>
          </w:p>
        </w:tc>
        <w:tc>
          <w:tcPr>
            <w:tcW w:w="912" w:type="pct"/>
          </w:tcPr>
          <w:p w14:paraId="5A25B6F0" w14:textId="226EEF43" w:rsidR="006A13DD" w:rsidRDefault="006A13DD" w:rsidP="00702DC2">
            <w:pPr>
              <w:cnfStyle w:val="000000100000" w:firstRow="0" w:lastRow="0" w:firstColumn="0" w:lastColumn="0" w:oddVBand="0" w:evenVBand="0" w:oddHBand="1" w:evenHBand="0" w:firstRowFirstColumn="0" w:firstRowLastColumn="0" w:lastRowFirstColumn="0" w:lastRowLastColumn="0"/>
            </w:pPr>
            <w:r>
              <w:t>40</w:t>
            </w:r>
          </w:p>
        </w:tc>
      </w:tr>
      <w:tr w:rsidR="006A13DD" w14:paraId="7837F4D6" w14:textId="77777777" w:rsidTr="006A13DD">
        <w:trPr>
          <w:trHeight w:val="432"/>
          <w:jc w:val="center"/>
        </w:trPr>
        <w:tc>
          <w:tcPr>
            <w:cnfStyle w:val="001000000000" w:firstRow="0" w:lastRow="0" w:firstColumn="1" w:lastColumn="0" w:oddVBand="0" w:evenVBand="0" w:oddHBand="0" w:evenHBand="0" w:firstRowFirstColumn="0" w:firstRowLastColumn="0" w:lastRowFirstColumn="0" w:lastRowLastColumn="0"/>
            <w:tcW w:w="1152" w:type="pct"/>
          </w:tcPr>
          <w:p w14:paraId="1439990C" w14:textId="53E9AC87" w:rsidR="006A13DD" w:rsidRDefault="006A13DD" w:rsidP="00702DC2">
            <w:r w:rsidRPr="006A13DD">
              <w:t xml:space="preserve">Video </w:t>
            </w:r>
            <w:r w:rsidR="008946DC">
              <w:t>Conference</w:t>
            </w:r>
          </w:p>
        </w:tc>
        <w:tc>
          <w:tcPr>
            <w:tcW w:w="2936" w:type="pct"/>
          </w:tcPr>
          <w:p w14:paraId="28321C09" w14:textId="60D13BE7" w:rsidR="006A13DD" w:rsidRDefault="006A13DD" w:rsidP="00702DC2">
            <w:pPr>
              <w:cnfStyle w:val="000000000000" w:firstRow="0" w:lastRow="0" w:firstColumn="0" w:lastColumn="0" w:oddVBand="0" w:evenVBand="0" w:oddHBand="0" w:evenHBand="0" w:firstRowFirstColumn="0" w:firstRowLastColumn="0" w:lastRowFirstColumn="0" w:lastRowLastColumn="0"/>
            </w:pPr>
            <w:r w:rsidRPr="006A13DD">
              <w:t>See Rubric posted to course site</w:t>
            </w:r>
          </w:p>
        </w:tc>
        <w:tc>
          <w:tcPr>
            <w:tcW w:w="912" w:type="pct"/>
          </w:tcPr>
          <w:p w14:paraId="00B11BBC" w14:textId="519EB904" w:rsidR="006A13DD" w:rsidRDefault="008946DC" w:rsidP="00702DC2">
            <w:pPr>
              <w:cnfStyle w:val="000000000000" w:firstRow="0" w:lastRow="0" w:firstColumn="0" w:lastColumn="0" w:oddVBand="0" w:evenVBand="0" w:oddHBand="0" w:evenHBand="0" w:firstRowFirstColumn="0" w:firstRowLastColumn="0" w:lastRowFirstColumn="0" w:lastRowLastColumn="0"/>
            </w:pPr>
            <w:r>
              <w:t xml:space="preserve"> </w:t>
            </w:r>
            <w:r w:rsidR="00D83614">
              <w:t xml:space="preserve"> </w:t>
            </w:r>
            <w:r>
              <w:t>5</w:t>
            </w:r>
          </w:p>
        </w:tc>
      </w:tr>
      <w:tr w:rsidR="006A13DD" w14:paraId="26144B6D" w14:textId="77777777" w:rsidTr="006A13DD">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152" w:type="pct"/>
          </w:tcPr>
          <w:p w14:paraId="15B8B1F0" w14:textId="2C9D08CA" w:rsidR="006A13DD" w:rsidRDefault="006A13DD" w:rsidP="00702DC2">
            <w:r w:rsidRPr="006A13DD">
              <w:t>Project</w:t>
            </w:r>
          </w:p>
        </w:tc>
        <w:tc>
          <w:tcPr>
            <w:tcW w:w="2936" w:type="pct"/>
          </w:tcPr>
          <w:p w14:paraId="7A51638D" w14:textId="0259A66C" w:rsidR="006A13DD" w:rsidRDefault="006A13DD" w:rsidP="00702DC2">
            <w:pPr>
              <w:cnfStyle w:val="000000100000" w:firstRow="0" w:lastRow="0" w:firstColumn="0" w:lastColumn="0" w:oddVBand="0" w:evenVBand="0" w:oddHBand="1" w:evenHBand="0" w:firstRowFirstColumn="0" w:firstRowLastColumn="0" w:lastRowFirstColumn="0" w:lastRowLastColumn="0"/>
            </w:pPr>
            <w:r w:rsidRPr="006A13DD">
              <w:t>Apply what was learned to a data set of your choosing</w:t>
            </w:r>
          </w:p>
        </w:tc>
        <w:tc>
          <w:tcPr>
            <w:tcW w:w="912" w:type="pct"/>
          </w:tcPr>
          <w:p w14:paraId="698F0D8A" w14:textId="1757BCCB" w:rsidR="006A13DD" w:rsidRDefault="006A13DD" w:rsidP="00702DC2">
            <w:pPr>
              <w:cnfStyle w:val="000000100000" w:firstRow="0" w:lastRow="0" w:firstColumn="0" w:lastColumn="0" w:oddVBand="0" w:evenVBand="0" w:oddHBand="1" w:evenHBand="0" w:firstRowFirstColumn="0" w:firstRowLastColumn="0" w:lastRowFirstColumn="0" w:lastRowLastColumn="0"/>
            </w:pPr>
            <w:r>
              <w:t>5</w:t>
            </w:r>
            <w:r w:rsidR="008946DC">
              <w:t>5</w:t>
            </w:r>
          </w:p>
        </w:tc>
      </w:tr>
    </w:tbl>
    <w:p w14:paraId="43A44F2B" w14:textId="0D0820AD" w:rsidR="00840B36" w:rsidRDefault="006A13DD" w:rsidP="00FF61A2">
      <w:pPr>
        <w:pStyle w:val="Heading1"/>
      </w:pPr>
      <w:r w:rsidRPr="006A13DD">
        <w:t>Homework</w:t>
      </w:r>
    </w:p>
    <w:p w14:paraId="117DFCAA" w14:textId="3C3C729B" w:rsidR="00840B36" w:rsidRDefault="006A13DD" w:rsidP="00FF61A2">
      <w:r w:rsidRPr="006A13DD">
        <w:t>The key to success in this course is the ability to generate and understand the weekly homework. All students will work on the same assigned data sets.</w:t>
      </w:r>
    </w:p>
    <w:p w14:paraId="7918AAC5" w14:textId="057349F6" w:rsidR="00B83CCD" w:rsidRDefault="006A13DD" w:rsidP="00B83CCD">
      <w:pPr>
        <w:pStyle w:val="Heading1"/>
      </w:pPr>
      <w:bookmarkStart w:id="0" w:name="_GoBack"/>
      <w:r w:rsidRPr="006A13DD">
        <w:t xml:space="preserve">Video </w:t>
      </w:r>
      <w:r w:rsidR="00A1467D">
        <w:t>Conferences</w:t>
      </w:r>
    </w:p>
    <w:bookmarkEnd w:id="0"/>
    <w:p w14:paraId="425C3FFA" w14:textId="18CC361B" w:rsidR="00B83CCD" w:rsidRDefault="006A13DD" w:rsidP="00B83CCD">
      <w:r w:rsidRPr="006A13DD">
        <w:t>Each student participate</w:t>
      </w:r>
      <w:r w:rsidR="00491D9D">
        <w:t xml:space="preserve">s </w:t>
      </w:r>
      <w:r w:rsidRPr="006A13DD">
        <w:t xml:space="preserve">in </w:t>
      </w:r>
      <w:r w:rsidR="008946DC">
        <w:t>a</w:t>
      </w:r>
      <w:r w:rsidRPr="006A13DD">
        <w:t xml:space="preserve"> group video </w:t>
      </w:r>
      <w:r w:rsidR="00D83614">
        <w:t>conference</w:t>
      </w:r>
      <w:r w:rsidRPr="006A13DD">
        <w:t xml:space="preserve"> othe</w:t>
      </w:r>
      <w:r>
        <w:t>r students and your instructor.</w:t>
      </w:r>
    </w:p>
    <w:p w14:paraId="680F2FC3" w14:textId="7129FBB2" w:rsidR="00B83CCD" w:rsidRDefault="006A13DD" w:rsidP="00B83CCD">
      <w:pPr>
        <w:pStyle w:val="Heading1"/>
      </w:pPr>
      <w:r w:rsidRPr="006A13DD">
        <w:t>Project</w:t>
      </w:r>
    </w:p>
    <w:p w14:paraId="29A832CB" w14:textId="39264F02" w:rsidR="00B83CCD" w:rsidRDefault="006A13DD" w:rsidP="00B83CCD">
      <w:r w:rsidRPr="006A13DD">
        <w:t>The key assignment to demonstrate sufficient learning of the core principals is the course project. Here you apply and interpret what you learned in the homework to a data set of your choosing. You are free to work in just one of the course software systems of your choosing, or you can combine output from the different systems. The criterion is not what software you choose to use, but that you generate and interpret the range of graphs presented in class.</w:t>
      </w:r>
    </w:p>
    <w:p w14:paraId="0A5FB81B" w14:textId="77777777" w:rsidR="00D776A7" w:rsidRDefault="00D776A7" w:rsidP="00D776A7">
      <w:pPr>
        <w:pStyle w:val="Heading1"/>
        <w:rPr>
          <w:rFonts w:ascii="CMR10" w:eastAsia="Times New Roman" w:hAnsi="CMR10"/>
        </w:rPr>
      </w:pPr>
      <w:r w:rsidRPr="00D776A7">
        <w:rPr>
          <w:rFonts w:eastAsia="Times New Roman"/>
        </w:rPr>
        <w:t>Text</w:t>
      </w:r>
    </w:p>
    <w:p w14:paraId="607561C9" w14:textId="79671BE3" w:rsidR="00D776A7" w:rsidRPr="00D776A7" w:rsidRDefault="00D776A7" w:rsidP="00D776A7">
      <w:pPr>
        <w:spacing w:before="100" w:beforeAutospacing="1" w:after="100" w:afterAutospacing="1" w:line="240" w:lineRule="auto"/>
        <w:rPr>
          <w:rFonts w:ascii="Times New Roman" w:eastAsia="Times New Roman" w:hAnsi="Times New Roman" w:cs="Times New Roman"/>
          <w:sz w:val="24"/>
          <w:szCs w:val="24"/>
        </w:rPr>
      </w:pPr>
      <w:r w:rsidRPr="00D776A7">
        <w:rPr>
          <w:rFonts w:ascii="CMR10" w:eastAsia="Times New Roman" w:hAnsi="CMR10" w:cs="Times New Roman"/>
        </w:rPr>
        <w:t xml:space="preserve">No text is required. I will provide notes that I am developing for a book to be published by CRC Press, </w:t>
      </w:r>
      <w:r w:rsidRPr="00D776A7">
        <w:rPr>
          <w:rFonts w:ascii="CMTI10" w:eastAsia="Times New Roman" w:hAnsi="CMTI10" w:cs="Times New Roman"/>
          <w:i/>
        </w:rPr>
        <w:t>Data Visualization with R</w:t>
      </w:r>
      <w:r w:rsidRPr="00D776A7">
        <w:rPr>
          <w:rFonts w:ascii="CMR10" w:eastAsia="Times New Roman" w:hAnsi="CMR10" w:cs="Times New Roman"/>
        </w:rPr>
        <w:t xml:space="preserve">, which are a further development based on the seminars that I presented at the annual International Winter School on Big Data, at the </w:t>
      </w:r>
      <w:r w:rsidRPr="00D776A7">
        <w:rPr>
          <w:rFonts w:ascii="CMR10" w:eastAsia="Times New Roman" w:hAnsi="CMR10" w:cs="Times New Roman"/>
          <w:color w:val="000000" w:themeColor="text1"/>
        </w:rPr>
        <w:t xml:space="preserve">3rd </w:t>
      </w:r>
      <w:r w:rsidRPr="00D776A7">
        <w:rPr>
          <w:rFonts w:ascii="CMR10" w:eastAsia="Times New Roman" w:hAnsi="CMR10" w:cs="Times New Roman"/>
        </w:rPr>
        <w:t xml:space="preserve">session at the University of Bari in Bari, Italy, </w:t>
      </w:r>
      <w:r w:rsidRPr="00D776A7">
        <w:rPr>
          <w:rFonts w:ascii="CMR10" w:eastAsia="Times New Roman" w:hAnsi="CMR10" w:cs="Times New Roman"/>
          <w:color w:val="000000" w:themeColor="text1"/>
        </w:rPr>
        <w:t xml:space="preserve">4th </w:t>
      </w:r>
      <w:r w:rsidRPr="00D776A7">
        <w:rPr>
          <w:rFonts w:ascii="CMR10" w:eastAsia="Times New Roman" w:hAnsi="CMR10" w:cs="Times New Roman"/>
        </w:rPr>
        <w:t xml:space="preserve">session at the Universitatea de Vest, Timisoara, Romania, and the </w:t>
      </w:r>
      <w:hyperlink r:id="rId9" w:history="1">
        <w:r w:rsidRPr="00D776A7">
          <w:rPr>
            <w:rStyle w:val="Hyperlink"/>
            <w:rFonts w:ascii="CMR10" w:eastAsia="Times New Roman" w:hAnsi="CMR10" w:cs="Times New Roman"/>
          </w:rPr>
          <w:t>5th</w:t>
        </w:r>
      </w:hyperlink>
      <w:r w:rsidRPr="00D776A7">
        <w:rPr>
          <w:rFonts w:ascii="CMR10" w:eastAsia="Times New Roman" w:hAnsi="CMR10" w:cs="Times New Roman"/>
        </w:rPr>
        <w:t xml:space="preserve"> session at the University of Cambridge, Cambridge, England</w:t>
      </w:r>
      <w:r>
        <w:rPr>
          <w:rFonts w:ascii="CMR10" w:eastAsia="Times New Roman" w:hAnsi="CMR10" w:cs="Times New Roman"/>
        </w:rPr>
        <w:t>, January 2019.</w:t>
      </w:r>
      <w:r w:rsidRPr="00D776A7">
        <w:rPr>
          <w:rFonts w:ascii="CMR10" w:eastAsia="Times New Roman" w:hAnsi="CMR10" w:cs="Times New Roman"/>
        </w:rPr>
        <w:t xml:space="preserve"> </w:t>
      </w:r>
    </w:p>
    <w:p w14:paraId="4802A6FD" w14:textId="77777777" w:rsidR="00D776A7" w:rsidRDefault="00D776A7" w:rsidP="00B83CCD"/>
    <w:p w14:paraId="3FFD33E7" w14:textId="77777777" w:rsidR="00491D9D" w:rsidRPr="00491D9D" w:rsidRDefault="00D83614" w:rsidP="00491D9D">
      <w:pPr>
        <w:pStyle w:val="Heading1"/>
      </w:pPr>
      <w:r>
        <w:br w:type="page"/>
      </w:r>
      <w:r w:rsidR="00491D9D" w:rsidRPr="00491D9D">
        <w:lastRenderedPageBreak/>
        <w:t xml:space="preserve">ISQA 521 Topic Outline </w:t>
      </w:r>
    </w:p>
    <w:p w14:paraId="6FBCFE01" w14:textId="2751EEFD" w:rsidR="00491D9D" w:rsidRPr="00491D9D" w:rsidRDefault="00491D9D" w:rsidP="007E1756">
      <w:pPr>
        <w:spacing w:before="0" w:after="120" w:line="240" w:lineRule="auto"/>
        <w:rPr>
          <w:rFonts w:ascii="Times New Roman" w:eastAsia="Times New Roman" w:hAnsi="Times New Roman" w:cs="Times New Roman"/>
          <w:sz w:val="24"/>
          <w:szCs w:val="24"/>
        </w:rPr>
      </w:pPr>
      <w:r w:rsidRPr="00491D9D">
        <w:rPr>
          <w:rFonts w:ascii="CMBX10" w:eastAsia="Times New Roman" w:hAnsi="CMBX10" w:cs="Times New Roman"/>
        </w:rPr>
        <w:t xml:space="preserve">Week 1 </w:t>
      </w:r>
      <w:r w:rsidRPr="00491D9D">
        <w:rPr>
          <w:rFonts w:ascii="CMR10" w:eastAsia="Times New Roman" w:hAnsi="CMR10" w:cs="Times New Roman"/>
        </w:rPr>
        <w:t>[4/0</w:t>
      </w:r>
      <w:r>
        <w:rPr>
          <w:rFonts w:ascii="CMR10" w:eastAsia="Times New Roman" w:hAnsi="CMR10" w:cs="Times New Roman"/>
        </w:rPr>
        <w:t>1</w:t>
      </w:r>
      <w:r w:rsidRPr="00491D9D">
        <w:rPr>
          <w:rFonts w:ascii="CMR10" w:eastAsia="Times New Roman" w:hAnsi="CMR10" w:cs="Times New Roman"/>
        </w:rPr>
        <w:t xml:space="preserve">] Introduction to R and R Graphics </w:t>
      </w:r>
    </w:p>
    <w:p w14:paraId="40696B71" w14:textId="77777777" w:rsidR="00491D9D" w:rsidRPr="00491D9D" w:rsidRDefault="00491D9D" w:rsidP="007E1756">
      <w:pPr>
        <w:spacing w:before="0" w:after="100" w:afterAutospacing="1" w:line="240" w:lineRule="auto"/>
        <w:rPr>
          <w:rFonts w:ascii="Times New Roman" w:eastAsia="Times New Roman" w:hAnsi="Times New Roman" w:cs="Times New Roman"/>
          <w:sz w:val="24"/>
          <w:szCs w:val="24"/>
        </w:rPr>
      </w:pPr>
      <w:r w:rsidRPr="00491D9D">
        <w:rPr>
          <w:rFonts w:ascii="CMBX10" w:eastAsia="Times New Roman" w:hAnsi="CMBX10" w:cs="Times New Roman"/>
        </w:rPr>
        <w:t>Purpose, Principles and Best Practices of Data Visualization R Packages for Graphics: lessR, ggplot2</w:t>
      </w:r>
      <w:r w:rsidRPr="00491D9D">
        <w:rPr>
          <w:rFonts w:ascii="CMBX10" w:eastAsia="Times New Roman" w:hAnsi="CMBX10" w:cs="Times New Roman"/>
        </w:rPr>
        <w:br/>
      </w:r>
      <w:r w:rsidRPr="00491D9D">
        <w:rPr>
          <w:rFonts w:ascii="CMR10" w:eastAsia="Times New Roman" w:hAnsi="CMR10" w:cs="Times New Roman"/>
        </w:rPr>
        <w:t>R Data Types and Data Structures</w:t>
      </w:r>
      <w:r w:rsidRPr="00491D9D">
        <w:rPr>
          <w:rFonts w:ascii="CMR10" w:eastAsia="Times New Roman" w:hAnsi="CMR10" w:cs="Times New Roman"/>
        </w:rPr>
        <w:br/>
        <w:t xml:space="preserve">Read Data into R </w:t>
      </w:r>
    </w:p>
    <w:p w14:paraId="1CD0A35D" w14:textId="6DF18B07" w:rsidR="00491D9D" w:rsidRPr="00491D9D" w:rsidRDefault="00491D9D" w:rsidP="007E1756">
      <w:pPr>
        <w:spacing w:before="0" w:after="120" w:line="240" w:lineRule="auto"/>
        <w:rPr>
          <w:rFonts w:ascii="CMBX10" w:eastAsia="Times New Roman" w:hAnsi="CMBX10" w:cs="Times New Roman"/>
        </w:rPr>
      </w:pPr>
      <w:r w:rsidRPr="00491D9D">
        <w:rPr>
          <w:rFonts w:ascii="CMBX10" w:eastAsia="Times New Roman" w:hAnsi="CMBX10" w:cs="Times New Roman"/>
        </w:rPr>
        <w:t>Week 2 [4/</w:t>
      </w:r>
      <w:r w:rsidRPr="007E1756">
        <w:rPr>
          <w:rFonts w:ascii="CMBX10" w:eastAsia="Times New Roman" w:hAnsi="CMBX10" w:cs="Times New Roman"/>
        </w:rPr>
        <w:t>8</w:t>
      </w:r>
      <w:r w:rsidRPr="00491D9D">
        <w:rPr>
          <w:rFonts w:ascii="CMBX10" w:eastAsia="Times New Roman" w:hAnsi="CMBX10" w:cs="Times New Roman"/>
        </w:rPr>
        <w:t xml:space="preserve">] R: Visualize Univariate and Bivariate Distributions </w:t>
      </w:r>
    </w:p>
    <w:p w14:paraId="0B17EF65" w14:textId="77777777" w:rsidR="00491D9D" w:rsidRPr="00491D9D" w:rsidRDefault="00491D9D" w:rsidP="007E1756">
      <w:pPr>
        <w:spacing w:before="0" w:after="100" w:afterAutospacing="1" w:line="240" w:lineRule="auto"/>
        <w:rPr>
          <w:rFonts w:ascii="Times New Roman" w:eastAsia="Times New Roman" w:hAnsi="Times New Roman" w:cs="Times New Roman"/>
          <w:sz w:val="24"/>
          <w:szCs w:val="24"/>
        </w:rPr>
      </w:pPr>
      <w:r w:rsidRPr="00491D9D">
        <w:rPr>
          <w:rFonts w:ascii="CMR10" w:eastAsia="Times New Roman" w:hAnsi="CMR10" w:cs="Times New Roman"/>
        </w:rPr>
        <w:t>Univariate Continuous Distributions: Histograms, Densities, Scatterplots, Boxplots Univariate Categorical Distributions: Bar Charts, Scatterplots, Bubble Plots</w:t>
      </w:r>
      <w:r w:rsidRPr="00491D9D">
        <w:rPr>
          <w:rFonts w:ascii="CMR10" w:eastAsia="Times New Roman" w:hAnsi="CMR10" w:cs="Times New Roman"/>
        </w:rPr>
        <w:br/>
        <w:t xml:space="preserve">Joint Distributions: The Scatterplot Re-conceptualized and Generalized </w:t>
      </w:r>
    </w:p>
    <w:p w14:paraId="3047A98B" w14:textId="5D5A1246" w:rsidR="00491D9D" w:rsidRPr="00491D9D" w:rsidRDefault="00491D9D" w:rsidP="007E1756">
      <w:pPr>
        <w:spacing w:before="0" w:after="120" w:line="240" w:lineRule="auto"/>
        <w:rPr>
          <w:rFonts w:ascii="CMBX10" w:eastAsia="Times New Roman" w:hAnsi="CMBX10" w:cs="Times New Roman"/>
        </w:rPr>
      </w:pPr>
      <w:r w:rsidRPr="00491D9D">
        <w:rPr>
          <w:rFonts w:ascii="CMBX10" w:eastAsia="Times New Roman" w:hAnsi="CMBX10" w:cs="Times New Roman"/>
        </w:rPr>
        <w:t>Week 3 [4/1</w:t>
      </w:r>
      <w:r w:rsidRPr="007E1756">
        <w:rPr>
          <w:rFonts w:ascii="CMBX10" w:eastAsia="Times New Roman" w:hAnsi="CMBX10" w:cs="Times New Roman"/>
        </w:rPr>
        <w:t>5</w:t>
      </w:r>
      <w:r w:rsidRPr="00491D9D">
        <w:rPr>
          <w:rFonts w:ascii="CMBX10" w:eastAsia="Times New Roman" w:hAnsi="CMBX10" w:cs="Times New Roman"/>
        </w:rPr>
        <w:t xml:space="preserve">] R: Visualize Mapping Data, Time Series Data </w:t>
      </w:r>
    </w:p>
    <w:p w14:paraId="484007A5" w14:textId="77777777" w:rsidR="00491D9D" w:rsidRPr="00491D9D" w:rsidRDefault="00491D9D" w:rsidP="00491D9D">
      <w:pPr>
        <w:spacing w:before="100" w:beforeAutospacing="1" w:after="100" w:afterAutospacing="1" w:line="240" w:lineRule="auto"/>
        <w:rPr>
          <w:rFonts w:ascii="Times New Roman" w:eastAsia="Times New Roman" w:hAnsi="Times New Roman" w:cs="Times New Roman"/>
          <w:sz w:val="24"/>
          <w:szCs w:val="24"/>
        </w:rPr>
      </w:pPr>
      <w:r w:rsidRPr="00491D9D">
        <w:rPr>
          <w:rFonts w:ascii="CMR10" w:eastAsia="Times New Roman" w:hAnsi="CMR10" w:cs="Times New Roman"/>
        </w:rPr>
        <w:t>Advanced Visualizations with ggplot2 Layers</w:t>
      </w:r>
      <w:r w:rsidRPr="00491D9D">
        <w:rPr>
          <w:rFonts w:ascii="CMR10" w:eastAsia="Times New Roman" w:hAnsi="CMR10" w:cs="Times New Roman"/>
        </w:rPr>
        <w:br/>
        <w:t xml:space="preserve">Geographical Maps with Superimposed Data Visualizations Time Series Visualizations with Forecasts </w:t>
      </w:r>
    </w:p>
    <w:p w14:paraId="5B723016" w14:textId="2588E2B1" w:rsidR="00491D9D" w:rsidRPr="00491D9D" w:rsidRDefault="00491D9D" w:rsidP="007E1756">
      <w:pPr>
        <w:spacing w:before="0" w:after="120" w:line="240" w:lineRule="auto"/>
        <w:rPr>
          <w:rFonts w:ascii="CMBX10" w:eastAsia="Times New Roman" w:hAnsi="CMBX10" w:cs="Times New Roman"/>
        </w:rPr>
      </w:pPr>
      <w:r w:rsidRPr="00491D9D">
        <w:rPr>
          <w:rFonts w:ascii="CMBX10" w:eastAsia="Times New Roman" w:hAnsi="CMBX10" w:cs="Times New Roman"/>
        </w:rPr>
        <w:t>Week 4 [4/2</w:t>
      </w:r>
      <w:r w:rsidRPr="007E1756">
        <w:rPr>
          <w:rFonts w:ascii="CMBX10" w:eastAsia="Times New Roman" w:hAnsi="CMBX10" w:cs="Times New Roman"/>
        </w:rPr>
        <w:t>2</w:t>
      </w:r>
      <w:r w:rsidRPr="00491D9D">
        <w:rPr>
          <w:rFonts w:ascii="CMBX10" w:eastAsia="Times New Roman" w:hAnsi="CMBX10" w:cs="Times New Roman"/>
        </w:rPr>
        <w:t xml:space="preserve">] Interactive Data Visualizations </w:t>
      </w:r>
    </w:p>
    <w:p w14:paraId="46ABB274" w14:textId="0F6D756C" w:rsidR="00491D9D" w:rsidRPr="00491D9D" w:rsidRDefault="00491D9D" w:rsidP="00491D9D">
      <w:pPr>
        <w:spacing w:before="100" w:beforeAutospacing="1" w:after="100" w:afterAutospacing="1" w:line="240" w:lineRule="auto"/>
        <w:rPr>
          <w:rFonts w:ascii="Times New Roman" w:eastAsia="Times New Roman" w:hAnsi="Times New Roman" w:cs="Times New Roman"/>
          <w:sz w:val="24"/>
          <w:szCs w:val="24"/>
        </w:rPr>
      </w:pPr>
      <w:r w:rsidRPr="00491D9D">
        <w:rPr>
          <w:rFonts w:ascii="CMR10" w:eastAsia="Times New Roman" w:hAnsi="CMR10" w:cs="Times New Roman"/>
        </w:rPr>
        <w:t>Introduction to Shiny</w:t>
      </w:r>
      <w:r w:rsidRPr="00491D9D">
        <w:rPr>
          <w:rFonts w:ascii="CMR10" w:eastAsia="Times New Roman" w:hAnsi="CMR10" w:cs="Times New Roman"/>
        </w:rPr>
        <w:br/>
        <w:t>The Shiny Environment</w:t>
      </w:r>
      <w:r w:rsidRPr="00491D9D">
        <w:rPr>
          <w:rFonts w:ascii="CMR10" w:eastAsia="Times New Roman" w:hAnsi="CMR10" w:cs="Times New Roman"/>
        </w:rPr>
        <w:br/>
        <w:t xml:space="preserve">Examples of Shiny Interactive Visualizations </w:t>
      </w:r>
    </w:p>
    <w:p w14:paraId="43E9ECA6" w14:textId="7038F653" w:rsidR="00491D9D" w:rsidRPr="00491D9D" w:rsidRDefault="00491D9D" w:rsidP="007E1756">
      <w:pPr>
        <w:spacing w:before="0" w:after="120" w:line="240" w:lineRule="auto"/>
        <w:rPr>
          <w:rFonts w:ascii="CMBX10" w:eastAsia="Times New Roman" w:hAnsi="CMBX10" w:cs="Times New Roman"/>
        </w:rPr>
      </w:pPr>
      <w:r w:rsidRPr="00491D9D">
        <w:rPr>
          <w:rFonts w:ascii="CMBX10" w:eastAsia="Times New Roman" w:hAnsi="CMBX10" w:cs="Times New Roman"/>
        </w:rPr>
        <w:t>Week 5 [</w:t>
      </w:r>
      <w:r w:rsidRPr="007E1756">
        <w:rPr>
          <w:rFonts w:ascii="CMBX10" w:eastAsia="Times New Roman" w:hAnsi="CMBX10" w:cs="Times New Roman"/>
        </w:rPr>
        <w:t>4</w:t>
      </w:r>
      <w:r w:rsidRPr="00491D9D">
        <w:rPr>
          <w:rFonts w:ascii="CMBX10" w:eastAsia="Times New Roman" w:hAnsi="CMBX10" w:cs="Times New Roman"/>
        </w:rPr>
        <w:t>/</w:t>
      </w:r>
      <w:r w:rsidRPr="007E1756">
        <w:rPr>
          <w:rFonts w:ascii="CMBX10" w:eastAsia="Times New Roman" w:hAnsi="CMBX10" w:cs="Times New Roman"/>
        </w:rPr>
        <w:t>29</w:t>
      </w:r>
      <w:r w:rsidRPr="00491D9D">
        <w:rPr>
          <w:rFonts w:ascii="CMBX10" w:eastAsia="Times New Roman" w:hAnsi="CMBX10" w:cs="Times New Roman"/>
        </w:rPr>
        <w:t xml:space="preserve">] Tableau Visualizations </w:t>
      </w:r>
    </w:p>
    <w:p w14:paraId="0028745A" w14:textId="77777777" w:rsidR="00491D9D" w:rsidRPr="00491D9D" w:rsidRDefault="00491D9D" w:rsidP="00491D9D">
      <w:pPr>
        <w:spacing w:before="100" w:beforeAutospacing="1" w:after="100" w:afterAutospacing="1" w:line="240" w:lineRule="auto"/>
        <w:rPr>
          <w:rFonts w:ascii="Times New Roman" w:eastAsia="Times New Roman" w:hAnsi="Times New Roman" w:cs="Times New Roman"/>
          <w:sz w:val="24"/>
          <w:szCs w:val="24"/>
        </w:rPr>
      </w:pPr>
      <w:r w:rsidRPr="00491D9D">
        <w:rPr>
          <w:rFonts w:ascii="CMR10" w:eastAsia="Times New Roman" w:hAnsi="CMR10" w:cs="Times New Roman"/>
        </w:rPr>
        <w:t>The Tableau Environment, Data Access</w:t>
      </w:r>
      <w:r w:rsidRPr="00491D9D">
        <w:rPr>
          <w:rFonts w:ascii="CMR10" w:eastAsia="Times New Roman" w:hAnsi="CMR10" w:cs="Times New Roman"/>
        </w:rPr>
        <w:br/>
        <w:t>Univariate Distributions, Scatterplots and Time Series</w:t>
      </w:r>
      <w:r w:rsidRPr="00491D9D">
        <w:rPr>
          <w:rFonts w:ascii="CMR10" w:eastAsia="Times New Roman" w:hAnsi="CMR10" w:cs="Times New Roman"/>
        </w:rPr>
        <w:br/>
        <w:t xml:space="preserve">Drill Down Data Hierarchies with Aggregate Data Complete the Loop: Flow R Analytics Output into Tableau </w:t>
      </w:r>
    </w:p>
    <w:p w14:paraId="6E73ADB6" w14:textId="66DC2383" w:rsidR="00D83614" w:rsidRDefault="00D83614">
      <w:pPr>
        <w:spacing w:before="0"/>
      </w:pPr>
    </w:p>
    <w:p w14:paraId="6C07C4FB" w14:textId="77777777" w:rsidR="00491D9D" w:rsidRDefault="00491D9D">
      <w:pPr>
        <w:spacing w:before="0"/>
        <w:rPr>
          <w:rFonts w:eastAsiaTheme="minorEastAsia"/>
          <w:color w:val="5A5A5A" w:themeColor="text1" w:themeTint="A5"/>
          <w:spacing w:val="15"/>
          <w:sz w:val="36"/>
          <w:szCs w:val="36"/>
        </w:rPr>
      </w:pPr>
      <w:r>
        <w:rPr>
          <w:sz w:val="36"/>
          <w:szCs w:val="36"/>
        </w:rPr>
        <w:br w:type="page"/>
      </w:r>
    </w:p>
    <w:p w14:paraId="264B574C" w14:textId="544EBF25" w:rsidR="00D83614" w:rsidRPr="00D83614" w:rsidRDefault="00D83614" w:rsidP="00D83614">
      <w:pPr>
        <w:pStyle w:val="Subtitle"/>
        <w:spacing w:before="120" w:after="120"/>
        <w:rPr>
          <w:sz w:val="36"/>
          <w:szCs w:val="36"/>
        </w:rPr>
      </w:pPr>
      <w:r>
        <w:rPr>
          <w:sz w:val="36"/>
          <w:szCs w:val="36"/>
        </w:rPr>
        <w:lastRenderedPageBreak/>
        <w:t>More Stuff</w:t>
      </w:r>
    </w:p>
    <w:p w14:paraId="0B148093" w14:textId="3316CD06" w:rsidR="00B83CCD" w:rsidRDefault="006A13DD" w:rsidP="00B83CCD">
      <w:pPr>
        <w:pStyle w:val="Heading1"/>
      </w:pPr>
      <w:r w:rsidRPr="006A13DD">
        <w:t>Plagiarism</w:t>
      </w:r>
    </w:p>
    <w:p w14:paraId="5C5D39CB" w14:textId="75946D96" w:rsidR="006A13DD" w:rsidRDefault="006A13DD" w:rsidP="006A13DD">
      <w:r>
        <w:t>Plagiarism of any kind – in term papers or examinations – or any other violation of academic honesty will be grounds for failure of this course.</w:t>
      </w:r>
    </w:p>
    <w:p w14:paraId="5A2CFDE1" w14:textId="7F7F07B2" w:rsidR="00B83CCD" w:rsidRDefault="006A13DD" w:rsidP="006A13DD">
      <w:r>
        <w:t>The Student Conduct Code, which applies to all students, prohibits all forms of academic cheating, fraud, and dishonesty.  These acts include, but are not limited to, plagiarism, buying and selling of course assignments and research papers, performing academic assignments (including cases and discussions) for other persons, unauthorized disclosure and receipt of academic information, and other practices commonly understood to academically dishonor.  The code of conduct also describes standards of behavior for all student members of the campus community.  Violation of the SCC may lead to disciplinary action.  Students may obtain copies of the Student Conduct Code by contacting the campus judicial officer at (503) 725-4422, or by visiting her office in room 433 Smith Memorial Center</w:t>
      </w:r>
    </w:p>
    <w:p w14:paraId="404F477F" w14:textId="750E38F6" w:rsidR="0039454E" w:rsidRDefault="0039454E" w:rsidP="00915B9E">
      <w:pPr>
        <w:pStyle w:val="Heading1"/>
      </w:pPr>
      <w:r w:rsidRPr="0039454E">
        <w:t>Course Expectations</w:t>
      </w:r>
    </w:p>
    <w:p w14:paraId="5EECBCAA" w14:textId="77777777" w:rsidR="00915B9E" w:rsidRDefault="00915B9E" w:rsidP="00915B9E">
      <w:pPr>
        <w:pStyle w:val="ListParagraph"/>
        <w:numPr>
          <w:ilvl w:val="0"/>
          <w:numId w:val="32"/>
        </w:numPr>
      </w:pPr>
      <w:r>
        <w:t xml:space="preserve">Engage in appropriate classroom behavior. In this online class, you are expected to: </w:t>
      </w:r>
    </w:p>
    <w:p w14:paraId="3B0EB4CD" w14:textId="77777777" w:rsidR="00915B9E" w:rsidRDefault="00915B9E" w:rsidP="00915B9E">
      <w:pPr>
        <w:pStyle w:val="ListParagraph"/>
        <w:numPr>
          <w:ilvl w:val="1"/>
          <w:numId w:val="32"/>
        </w:numPr>
      </w:pPr>
      <w:r>
        <w:t>Treat your peers and your instructor with respect, tolerance, and professionalism. This includes being aware of “tone” when responding in writings to others in discussion boards and communications.</w:t>
      </w:r>
    </w:p>
    <w:p w14:paraId="3E3AFDA8" w14:textId="77777777" w:rsidR="00915B9E" w:rsidRDefault="00915B9E" w:rsidP="00915B9E">
      <w:pPr>
        <w:pStyle w:val="ListParagraph"/>
        <w:numPr>
          <w:ilvl w:val="1"/>
          <w:numId w:val="32"/>
        </w:numPr>
      </w:pPr>
      <w:r>
        <w:t>Be dependable and responsible to your peers if assigned group activities.</w:t>
      </w:r>
    </w:p>
    <w:p w14:paraId="7821E00F" w14:textId="77777777" w:rsidR="00915B9E" w:rsidRDefault="00915B9E" w:rsidP="00915B9E">
      <w:pPr>
        <w:pStyle w:val="ListParagraph"/>
        <w:numPr>
          <w:ilvl w:val="1"/>
          <w:numId w:val="32"/>
        </w:numPr>
      </w:pPr>
      <w:r>
        <w:t xml:space="preserve">Contribute equitably and frequently to any small group &amp; group assignments.   </w:t>
      </w:r>
    </w:p>
    <w:p w14:paraId="469D8AF9" w14:textId="77777777" w:rsidR="00915B9E" w:rsidRPr="00915B9E" w:rsidRDefault="00915B9E" w:rsidP="00915B9E">
      <w:pPr>
        <w:pStyle w:val="ListParagraph"/>
        <w:numPr>
          <w:ilvl w:val="0"/>
          <w:numId w:val="32"/>
        </w:numPr>
        <w:rPr>
          <w:b/>
        </w:rPr>
      </w:pPr>
      <w:r w:rsidRPr="00915B9E">
        <w:rPr>
          <w:b/>
        </w:rPr>
        <w:t xml:space="preserve">Log in to your D2L course at least once every 24 hours to check for updates and to do work. </w:t>
      </w:r>
    </w:p>
    <w:p w14:paraId="24E93F1C" w14:textId="77777777" w:rsidR="00915B9E" w:rsidRDefault="00915B9E" w:rsidP="00915B9E">
      <w:pPr>
        <w:pStyle w:val="ListParagraph"/>
        <w:numPr>
          <w:ilvl w:val="0"/>
          <w:numId w:val="32"/>
        </w:numPr>
      </w:pPr>
      <w:r>
        <w:t>Review all items in this course site thoroughly. Participate fully in all course activities. Read all assigned readings for this class at the beginning of the week and before you attempt to do assignments; submit all assignments on time. Late submissions are NOT accepted.</w:t>
      </w:r>
    </w:p>
    <w:p w14:paraId="2326E80B" w14:textId="3D4C0173" w:rsidR="00915B9E" w:rsidRDefault="00915B9E" w:rsidP="00915B9E">
      <w:pPr>
        <w:pStyle w:val="ListParagraph"/>
        <w:numPr>
          <w:ilvl w:val="0"/>
          <w:numId w:val="32"/>
        </w:numPr>
      </w:pPr>
      <w:r>
        <w:t xml:space="preserve">Demonstrate academic honesty. Review the </w:t>
      </w:r>
      <w:hyperlink r:id="rId10" w:history="1">
        <w:r w:rsidRPr="00915B9E">
          <w:rPr>
            <w:rStyle w:val="Hyperlink"/>
          </w:rPr>
          <w:t>Student Conduct Code</w:t>
        </w:r>
      </w:hyperlink>
      <w:r>
        <w:t xml:space="preserve"> to know your rights and responsibilities as a member of the Portland State University community. This code describes behavior for which a student may be subject to disciplinary action. Academic dishonesty will not be tolerated. An act of academic dishonesty (e.g., cheating, plagiarism, misrepresenting or improper/no citing that leads the instructor/viewer of content to believe that the writing and content are original to you, or unauthorized possession of examinations will automatically result in a grade of “F” for the affected assignment and the case will be referred to university authorities. If you are still unclear as to what constitutes plagiarism, consult this </w:t>
      </w:r>
      <w:hyperlink r:id="rId11" w:history="1">
        <w:r w:rsidRPr="00915B9E">
          <w:rPr>
            <w:rStyle w:val="Hyperlink"/>
          </w:rPr>
          <w:t>site explaining plagiarism</w:t>
        </w:r>
      </w:hyperlink>
      <w:r>
        <w:t xml:space="preserve"> from the PSU Library. When in doubt, cite the source. For assistance with APA citation format, see: </w:t>
      </w:r>
      <w:hyperlink r:id="rId12" w:history="1">
        <w:r w:rsidRPr="00915B9E">
          <w:rPr>
            <w:rStyle w:val="Hyperlink"/>
          </w:rPr>
          <w:t>Purdue OWL: APA Formatting and Style Guide.</w:t>
        </w:r>
      </w:hyperlink>
    </w:p>
    <w:p w14:paraId="31D94D58" w14:textId="26A0C3CA" w:rsidR="00694E7C" w:rsidRPr="00110FD0" w:rsidRDefault="00915B9E" w:rsidP="00915B9E">
      <w:r>
        <w:t>Make sure you keep electronic copies of all your assignments also outside of D2L so that you can produce them should the need arise.</w:t>
      </w:r>
    </w:p>
    <w:p w14:paraId="3B8ED9C6" w14:textId="77777777" w:rsidR="00E45BF4" w:rsidRPr="00E45BF4" w:rsidRDefault="00E45BF4" w:rsidP="00FF61A2">
      <w:pPr>
        <w:pStyle w:val="Heading1"/>
      </w:pPr>
      <w:r w:rsidRPr="00E45BF4">
        <w:lastRenderedPageBreak/>
        <w:t xml:space="preserve">Accommodations </w:t>
      </w:r>
      <w:r w:rsidR="00EB7146" w:rsidRPr="00E45BF4">
        <w:t>for</w:t>
      </w:r>
      <w:r w:rsidRPr="00E45BF4">
        <w:t xml:space="preserve"> Learning Differences</w:t>
      </w:r>
    </w:p>
    <w:p w14:paraId="72454B2E" w14:textId="77777777" w:rsidR="00EB7146" w:rsidRPr="005839B2" w:rsidRDefault="00EB7146" w:rsidP="00FF61A2">
      <w:r w:rsidRPr="005839B2">
        <w:t xml:space="preserve">If you have, or think you may have, a disability that may affect your work in this class, </w:t>
      </w:r>
      <w:hyperlink r:id="rId13" w:tgtFrame="_blank" w:history="1">
        <w:r w:rsidRPr="005839B2">
          <w:rPr>
            <w:rStyle w:val="Hyperlink"/>
            <w:rFonts w:eastAsiaTheme="majorEastAsia" w:cstheme="minorHAnsi"/>
          </w:rPr>
          <w:t>register your needs</w:t>
        </w:r>
      </w:hyperlink>
      <w:r w:rsidRPr="005839B2">
        <w:t xml:space="preserve"> with the </w:t>
      </w:r>
      <w:hyperlink r:id="rId14" w:tgtFrame="_blank" w:history="1">
        <w:r w:rsidRPr="005839B2">
          <w:rPr>
            <w:rStyle w:val="Hyperlink"/>
            <w:rFonts w:eastAsiaTheme="majorEastAsia" w:cstheme="minorHAnsi"/>
          </w:rPr>
          <w:t>Disability Resource Center</w:t>
        </w:r>
      </w:hyperlink>
      <w:r w:rsidRPr="005839B2">
        <w:t xml:space="preserve"> (DRC) to initiate an accommodations support process. The DRC can be reached at (503) 725-4150 or </w:t>
      </w:r>
      <w:hyperlink r:id="rId15" w:history="1">
        <w:r w:rsidRPr="005839B2">
          <w:rPr>
            <w:rStyle w:val="Hyperlink"/>
            <w:rFonts w:eastAsiaTheme="majorEastAsia" w:cstheme="minorHAnsi"/>
          </w:rPr>
          <w:t>drc@pdx.edu</w:t>
        </w:r>
      </w:hyperlink>
      <w:r w:rsidRPr="005839B2">
        <w:t>. Once you have coordinated with the DRC, please contact me to make sure that I have received a faculty notification letter and we can discuss your needs for the term.</w:t>
      </w:r>
    </w:p>
    <w:p w14:paraId="67622423" w14:textId="610A4B17" w:rsidR="00694E7C" w:rsidRDefault="00EB7146" w:rsidP="00FF61A2">
      <w:r w:rsidRPr="005839B2">
        <w:t>PSU values diversity and inclusion; we are committed to fostering mutual respect and full participation for all students. My goal is to create a learning environment that is equitable, usable, inclusive, and welcoming. If any aspects of instruction or course design result in barriers to your inclusion or learning, please notify me.</w:t>
      </w:r>
    </w:p>
    <w:p w14:paraId="6A5D6862" w14:textId="77777777" w:rsidR="00AA599F" w:rsidRDefault="00AA599F" w:rsidP="00AA599F">
      <w:pPr>
        <w:pStyle w:val="Heading1"/>
      </w:pPr>
      <w:r w:rsidRPr="0039454E">
        <w:t>Academic Integrity</w:t>
      </w:r>
    </w:p>
    <w:p w14:paraId="1F47C30C" w14:textId="59B01ED1" w:rsidR="00AA599F" w:rsidRPr="005839B2" w:rsidRDefault="00AA599F" w:rsidP="00AA599F">
      <w:r w:rsidRPr="005839B2">
        <w:t>Review the </w:t>
      </w:r>
      <w:hyperlink r:id="rId16" w:tgtFrame="_blank" w:history="1">
        <w:r w:rsidRPr="005839B2">
          <w:rPr>
            <w:rStyle w:val="Hyperlink"/>
            <w:rFonts w:eastAsiaTheme="majorEastAsia" w:cstheme="minorHAnsi"/>
          </w:rPr>
          <w:t>Student Conduct Code</w:t>
        </w:r>
      </w:hyperlink>
      <w:r w:rsidRPr="005839B2">
        <w:t xml:space="preserve"> to become familiar with your rights, responsibilities and the behaviors for which a student may be subject to disciplinary action. An act of academic dishonesty (e.g., cheating, </w:t>
      </w:r>
      <w:hyperlink r:id="rId17" w:tgtFrame="_self" w:history="1">
        <w:r w:rsidRPr="005839B2">
          <w:rPr>
            <w:rStyle w:val="Hyperlink"/>
            <w:rFonts w:eastAsiaTheme="majorEastAsia" w:cstheme="minorHAnsi"/>
          </w:rPr>
          <w:t>plagiarism</w:t>
        </w:r>
      </w:hyperlink>
      <w:r w:rsidRPr="005839B2">
        <w:t>, misrepresenting or improper/no citing that leads the instructor/viewer of content to believe that the writing and content are original to you, or unauthorized possession of examinations will automatically result in a grade of “F” for the affected assignment</w:t>
      </w:r>
      <w:r w:rsidR="00197ECA">
        <w:t>,</w:t>
      </w:r>
      <w:r w:rsidRPr="005839B2">
        <w:t xml:space="preserve"> and the case will be referred to university authorities.</w:t>
      </w:r>
      <w:r w:rsidR="00197ECA">
        <w:t xml:space="preserve"> </w:t>
      </w:r>
      <w:r w:rsidRPr="005839B2">
        <w:t>University authorities have the ability to escalate matters to the level of expulsion. Make sure you keep electronic copies of all your assignments also outside of D2L so that you can produce them should the need arise.</w:t>
      </w:r>
    </w:p>
    <w:p w14:paraId="1F126B85" w14:textId="77777777" w:rsidR="00AA599F" w:rsidRPr="005839B2" w:rsidRDefault="00AA599F" w:rsidP="00AA599F">
      <w:r w:rsidRPr="005839B2">
        <w:t>Many of PSU's online courses use the </w:t>
      </w:r>
      <w:hyperlink r:id="rId18" w:tgtFrame="_blank" w:history="1">
        <w:r w:rsidRPr="005839B2">
          <w:rPr>
            <w:rStyle w:val="Hyperlink"/>
            <w:rFonts w:eastAsiaTheme="majorEastAsia" w:cstheme="minorHAnsi"/>
          </w:rPr>
          <w:t>Turnitin plagiarism assessment tool</w:t>
        </w:r>
      </w:hyperlink>
      <w:r w:rsidRPr="005839B2">
        <w:t xml:space="preserve"> to evaluate assignments. This tool checks submissions against a database of published works, as well as other students' papers. You can review your Turnitin report before submitting an assignment and make necessary revisions. If you are still unclear as to what constitutes plagiarism, please review the </w:t>
      </w:r>
      <w:hyperlink r:id="rId19" w:tgtFrame="_self" w:history="1">
        <w:r w:rsidRPr="005839B2">
          <w:rPr>
            <w:rStyle w:val="Hyperlink"/>
            <w:rFonts w:eastAsiaTheme="majorEastAsia" w:cstheme="minorHAnsi"/>
          </w:rPr>
          <w:t>PSU Library's Citation Tutorial</w:t>
        </w:r>
      </w:hyperlink>
      <w:r w:rsidRPr="005839B2">
        <w:t>.</w:t>
      </w:r>
    </w:p>
    <w:p w14:paraId="20B37DB9" w14:textId="5776F973" w:rsidR="00AA599F" w:rsidRPr="005839B2" w:rsidRDefault="00AA599F" w:rsidP="00AA599F">
      <w:r w:rsidRPr="005839B2">
        <w:t xml:space="preserve">Online courses may also use </w:t>
      </w:r>
      <w:r w:rsidR="004D23A8">
        <w:t>remote</w:t>
      </w:r>
      <w:r w:rsidR="00197ECA">
        <w:t xml:space="preserve"> proctoring to regulate behavior during exams. The School of Business</w:t>
      </w:r>
      <w:r w:rsidRPr="005839B2">
        <w:t xml:space="preserve"> use</w:t>
      </w:r>
      <w:r w:rsidR="00197ECA">
        <w:t>s an automated system called</w:t>
      </w:r>
      <w:r w:rsidRPr="005839B2">
        <w:t xml:space="preserve"> </w:t>
      </w:r>
      <w:hyperlink r:id="rId20" w:tgtFrame="_blank" w:history="1">
        <w:r w:rsidRPr="005839B2">
          <w:rPr>
            <w:rStyle w:val="Hyperlink"/>
            <w:rFonts w:eastAsiaTheme="majorEastAsia" w:cstheme="minorHAnsi"/>
          </w:rPr>
          <w:t>Proctorio</w:t>
        </w:r>
      </w:hyperlink>
      <w:r w:rsidRPr="005839B2">
        <w:t xml:space="preserve">. Proctorio works by </w:t>
      </w:r>
      <w:r w:rsidR="00197ECA">
        <w:t>documenting</w:t>
      </w:r>
      <w:r w:rsidRPr="005839B2">
        <w:t xml:space="preserve"> </w:t>
      </w:r>
      <w:r>
        <w:t>a</w:t>
      </w:r>
      <w:r w:rsidR="00197ECA">
        <w:t>n instructor-customized</w:t>
      </w:r>
      <w:r w:rsidRPr="005839B2">
        <w:t xml:space="preserve"> </w:t>
      </w:r>
      <w:r w:rsidR="00197ECA">
        <w:t>combination of video, audio, open applications, and restriction of activities such as copy-paste and opening new browser tabs</w:t>
      </w:r>
      <w:r w:rsidRPr="005839B2">
        <w:t xml:space="preserve">. </w:t>
      </w:r>
      <w:r w:rsidR="00197ECA">
        <w:t>I</w:t>
      </w:r>
      <w:r w:rsidRPr="005839B2">
        <w:t>f Proctori</w:t>
      </w:r>
      <w:r>
        <w:t>o identifies suspicious activity according to your instructor’s settings, it will flag the instance for a review</w:t>
      </w:r>
      <w:r w:rsidRPr="005839B2">
        <w:t>.</w:t>
      </w:r>
      <w:r w:rsidR="004D23A8">
        <w:t xml:space="preserve"> This service runs on the Chrome browser and gates access to specified quizzes directly within PSU’s learning management system.</w:t>
      </w:r>
      <w:r w:rsidRPr="005839B2">
        <w:t xml:space="preserve"> The School of Business covers the cost of this plat</w:t>
      </w:r>
      <w:r w:rsidR="00197ECA">
        <w:t xml:space="preserve">form. Proctorio provides a American Disability Act and FERPA </w:t>
      </w:r>
      <w:r w:rsidRPr="005839B2">
        <w:t>compliant user experience.</w:t>
      </w:r>
    </w:p>
    <w:p w14:paraId="7BE3D0AE" w14:textId="4504DE77" w:rsidR="00BE6362" w:rsidRDefault="0081131B" w:rsidP="00BE6362">
      <w:pPr>
        <w:pStyle w:val="Heading1"/>
      </w:pPr>
      <w:r>
        <w:t>Data</w:t>
      </w:r>
      <w:r w:rsidR="00326229">
        <w:t xml:space="preserve"> Privacy</w:t>
      </w:r>
    </w:p>
    <w:p w14:paraId="5620CB19" w14:textId="3F141707" w:rsidR="00326229" w:rsidRDefault="003F0D4F" w:rsidP="00AA599F">
      <w:pPr>
        <w:pStyle w:val="NormalWeb"/>
        <w:shd w:val="clear" w:color="auto" w:fill="FFFFFF"/>
        <w:spacing w:before="0" w:beforeAutospacing="0" w:after="240" w:afterAutospacing="0"/>
        <w:rPr>
          <w:rFonts w:asciiTheme="minorHAnsi" w:hAnsiTheme="minorHAnsi" w:cs="Lucida Sans Unicode"/>
          <w:color w:val="000000"/>
          <w:sz w:val="22"/>
          <w:szCs w:val="22"/>
        </w:rPr>
      </w:pPr>
      <w:r w:rsidRPr="0081131B">
        <w:rPr>
          <w:rFonts w:asciiTheme="minorHAnsi" w:hAnsiTheme="minorHAnsi" w:cs="Lucida Sans Unicode"/>
          <w:color w:val="000000"/>
          <w:sz w:val="22"/>
          <w:szCs w:val="22"/>
        </w:rPr>
        <w:t xml:space="preserve">The Family Educational Rights and Privacy Act (FERPA) </w:t>
      </w:r>
      <w:r w:rsidR="00AF5217">
        <w:rPr>
          <w:rFonts w:asciiTheme="minorHAnsi" w:hAnsiTheme="minorHAnsi" w:cs="Lucida Sans Unicode"/>
          <w:color w:val="000000"/>
          <w:sz w:val="22"/>
          <w:szCs w:val="22"/>
        </w:rPr>
        <w:t xml:space="preserve">is a federal law that </w:t>
      </w:r>
      <w:r w:rsidRPr="0081131B">
        <w:rPr>
          <w:rFonts w:asciiTheme="minorHAnsi" w:hAnsiTheme="minorHAnsi" w:cs="Lucida Sans Unicode"/>
          <w:color w:val="000000"/>
          <w:sz w:val="22"/>
          <w:szCs w:val="22"/>
        </w:rPr>
        <w:t xml:space="preserve">affords students certain rights with respect to their </w:t>
      </w:r>
      <w:r w:rsidR="00326229">
        <w:rPr>
          <w:rFonts w:asciiTheme="minorHAnsi" w:hAnsiTheme="minorHAnsi" w:cs="Lucida Sans Unicode"/>
          <w:color w:val="000000"/>
          <w:sz w:val="22"/>
          <w:szCs w:val="22"/>
        </w:rPr>
        <w:t>academic</w:t>
      </w:r>
      <w:r w:rsidRPr="0081131B">
        <w:rPr>
          <w:rFonts w:asciiTheme="minorHAnsi" w:hAnsiTheme="minorHAnsi" w:cs="Lucida Sans Unicode"/>
          <w:color w:val="000000"/>
          <w:sz w:val="22"/>
          <w:szCs w:val="22"/>
        </w:rPr>
        <w:t xml:space="preserve"> records</w:t>
      </w:r>
      <w:r w:rsidR="00326229">
        <w:rPr>
          <w:rFonts w:asciiTheme="minorHAnsi" w:hAnsiTheme="minorHAnsi" w:cs="Lucida Sans Unicode"/>
          <w:color w:val="000000"/>
          <w:sz w:val="22"/>
          <w:szCs w:val="22"/>
        </w:rPr>
        <w:t>, such as</w:t>
      </w:r>
      <w:r w:rsidR="0081131B" w:rsidRPr="0081131B">
        <w:rPr>
          <w:rFonts w:asciiTheme="minorHAnsi" w:hAnsiTheme="minorHAnsi" w:cs="Lucida Sans Unicode"/>
          <w:color w:val="000000"/>
          <w:sz w:val="22"/>
          <w:szCs w:val="22"/>
        </w:rPr>
        <w:t xml:space="preserve"> “t</w:t>
      </w:r>
      <w:r w:rsidRPr="0081131B">
        <w:rPr>
          <w:rFonts w:asciiTheme="minorHAnsi" w:hAnsiTheme="minorHAnsi" w:cs="Lucida Sans Unicode"/>
          <w:color w:val="000000"/>
          <w:sz w:val="22"/>
          <w:szCs w:val="22"/>
        </w:rPr>
        <w:t>he right to consent to disclosures of personally identifiable information contained in the student's education records, except to the extent that FERPA authorizes disclosure without consent.</w:t>
      </w:r>
      <w:r w:rsidR="0081131B" w:rsidRPr="0081131B">
        <w:rPr>
          <w:rFonts w:asciiTheme="minorHAnsi" w:hAnsiTheme="minorHAnsi" w:cs="Lucida Sans Unicode"/>
          <w:color w:val="000000"/>
          <w:sz w:val="22"/>
          <w:szCs w:val="22"/>
        </w:rPr>
        <w:t>”</w:t>
      </w:r>
      <w:r w:rsidR="0050397C">
        <w:rPr>
          <w:rFonts w:asciiTheme="minorHAnsi" w:hAnsiTheme="minorHAnsi" w:cs="Lucida Sans Unicode"/>
          <w:color w:val="000000"/>
          <w:sz w:val="22"/>
          <w:szCs w:val="22"/>
        </w:rPr>
        <w:t xml:space="preserve"> </w:t>
      </w:r>
      <w:r w:rsidR="0050397C" w:rsidRPr="00AA599F">
        <w:rPr>
          <w:rFonts w:asciiTheme="minorHAnsi" w:hAnsiTheme="minorHAnsi" w:cs="Lucida Sans Unicode"/>
          <w:color w:val="000000"/>
          <w:sz w:val="22"/>
          <w:szCs w:val="22"/>
        </w:rPr>
        <w:t xml:space="preserve">FERPA protects students from having their information disseminated to third parties without </w:t>
      </w:r>
      <w:r w:rsidR="0050397C">
        <w:rPr>
          <w:rFonts w:asciiTheme="minorHAnsi" w:hAnsiTheme="minorHAnsi" w:cs="Lucida Sans Unicode"/>
          <w:color w:val="000000"/>
          <w:sz w:val="22"/>
          <w:szCs w:val="22"/>
        </w:rPr>
        <w:t>consent</w:t>
      </w:r>
      <w:r w:rsidR="0050397C" w:rsidRPr="00AA599F">
        <w:rPr>
          <w:rFonts w:asciiTheme="minorHAnsi" w:hAnsiTheme="minorHAnsi" w:cs="Lucida Sans Unicode"/>
          <w:color w:val="000000"/>
          <w:sz w:val="22"/>
          <w:szCs w:val="22"/>
        </w:rPr>
        <w:t>.</w:t>
      </w:r>
    </w:p>
    <w:p w14:paraId="009C3F02" w14:textId="18E01A92" w:rsidR="0050397C" w:rsidRPr="0050397C" w:rsidRDefault="0050397C" w:rsidP="0050397C">
      <w:pPr>
        <w:pStyle w:val="NormalWeb"/>
        <w:shd w:val="clear" w:color="auto" w:fill="FFFFFF"/>
        <w:spacing w:before="0" w:beforeAutospacing="0" w:after="240" w:afterAutospacing="0"/>
        <w:rPr>
          <w:rFonts w:asciiTheme="minorHAnsi" w:hAnsiTheme="minorHAnsi" w:cs="Lucida Sans Unicode"/>
          <w:color w:val="000000"/>
          <w:sz w:val="22"/>
          <w:szCs w:val="22"/>
        </w:rPr>
      </w:pPr>
      <w:r w:rsidRPr="0050397C">
        <w:rPr>
          <w:rFonts w:asciiTheme="minorHAnsi" w:hAnsiTheme="minorHAnsi" w:cs="Lucida Sans Unicode"/>
          <w:color w:val="000000"/>
          <w:sz w:val="22"/>
          <w:szCs w:val="22"/>
        </w:rPr>
        <w:lastRenderedPageBreak/>
        <w:t xml:space="preserve">In accordance with </w:t>
      </w:r>
      <w:r w:rsidR="00197ECA">
        <w:rPr>
          <w:rFonts w:asciiTheme="minorHAnsi" w:hAnsiTheme="minorHAnsi" w:cs="Lucida Sans Unicode"/>
          <w:color w:val="000000"/>
          <w:sz w:val="22"/>
          <w:szCs w:val="22"/>
        </w:rPr>
        <w:t>this</w:t>
      </w:r>
      <w:r w:rsidRPr="0050397C">
        <w:rPr>
          <w:rFonts w:asciiTheme="minorHAnsi" w:hAnsiTheme="minorHAnsi" w:cs="Lucida Sans Unicode"/>
          <w:color w:val="000000"/>
          <w:sz w:val="22"/>
          <w:szCs w:val="22"/>
        </w:rPr>
        <w:t xml:space="preserve"> law, Portland State University </w:t>
      </w:r>
      <w:r>
        <w:rPr>
          <w:rFonts w:asciiTheme="minorHAnsi" w:hAnsiTheme="minorHAnsi" w:cs="Lucida Sans Unicode"/>
          <w:color w:val="000000"/>
          <w:sz w:val="22"/>
          <w:szCs w:val="22"/>
        </w:rPr>
        <w:t xml:space="preserve">has adopted rules to govern the </w:t>
      </w:r>
      <w:r w:rsidRPr="0050397C">
        <w:rPr>
          <w:rFonts w:asciiTheme="minorHAnsi" w:hAnsiTheme="minorHAnsi" w:cs="Lucida Sans Unicode"/>
          <w:color w:val="000000"/>
          <w:sz w:val="22"/>
          <w:szCs w:val="22"/>
        </w:rPr>
        <w:t>gathering, use, and disclosure of student records with the aim of guaranteei</w:t>
      </w:r>
      <w:r>
        <w:rPr>
          <w:rFonts w:asciiTheme="minorHAnsi" w:hAnsiTheme="minorHAnsi" w:cs="Lucida Sans Unicode"/>
          <w:color w:val="000000"/>
          <w:sz w:val="22"/>
          <w:szCs w:val="22"/>
        </w:rPr>
        <w:t xml:space="preserve">ng the privacy of such records. </w:t>
      </w:r>
      <w:r w:rsidRPr="0050397C">
        <w:rPr>
          <w:rFonts w:asciiTheme="minorHAnsi" w:hAnsiTheme="minorHAnsi" w:cs="Lucida Sans Unicode"/>
          <w:color w:val="000000"/>
          <w:sz w:val="22"/>
          <w:szCs w:val="22"/>
        </w:rPr>
        <w:t>Under the Student Record rules, most of the records that the University mai</w:t>
      </w:r>
      <w:r>
        <w:rPr>
          <w:rFonts w:asciiTheme="minorHAnsi" w:hAnsiTheme="minorHAnsi" w:cs="Lucida Sans Unicode"/>
          <w:color w:val="000000"/>
          <w:sz w:val="22"/>
          <w:szCs w:val="22"/>
        </w:rPr>
        <w:t xml:space="preserve">ntains with regard to a student </w:t>
      </w:r>
      <w:r w:rsidRPr="0050397C">
        <w:rPr>
          <w:rFonts w:asciiTheme="minorHAnsi" w:hAnsiTheme="minorHAnsi" w:cs="Lucida Sans Unicode"/>
          <w:color w:val="000000"/>
          <w:sz w:val="22"/>
          <w:szCs w:val="22"/>
        </w:rPr>
        <w:t xml:space="preserve">can </w:t>
      </w:r>
      <w:r w:rsidRPr="00197ECA">
        <w:rPr>
          <w:rFonts w:asciiTheme="minorHAnsi" w:hAnsiTheme="minorHAnsi" w:cs="Lucida Sans Unicode"/>
          <w:i/>
          <w:color w:val="000000"/>
          <w:sz w:val="22"/>
          <w:szCs w:val="22"/>
        </w:rPr>
        <w:t>only</w:t>
      </w:r>
      <w:r w:rsidRPr="0050397C">
        <w:rPr>
          <w:rFonts w:asciiTheme="minorHAnsi" w:hAnsiTheme="minorHAnsi" w:cs="Lucida Sans Unicode"/>
          <w:color w:val="000000"/>
          <w:sz w:val="22"/>
          <w:szCs w:val="22"/>
        </w:rPr>
        <w:t xml:space="preserve"> </w:t>
      </w:r>
      <w:r w:rsidR="004D23A8">
        <w:rPr>
          <w:rFonts w:asciiTheme="minorHAnsi" w:hAnsiTheme="minorHAnsi" w:cs="Lucida Sans Unicode"/>
          <w:color w:val="000000"/>
          <w:sz w:val="22"/>
          <w:szCs w:val="22"/>
        </w:rPr>
        <w:t xml:space="preserve">be disclosed </w:t>
      </w:r>
      <w:r w:rsidRPr="0050397C">
        <w:rPr>
          <w:rFonts w:asciiTheme="minorHAnsi" w:hAnsiTheme="minorHAnsi" w:cs="Lucida Sans Unicode"/>
          <w:color w:val="000000"/>
          <w:sz w:val="22"/>
          <w:szCs w:val="22"/>
        </w:rPr>
        <w:t>to the student, Unive</w:t>
      </w:r>
      <w:r>
        <w:rPr>
          <w:rFonts w:asciiTheme="minorHAnsi" w:hAnsiTheme="minorHAnsi" w:cs="Lucida Sans Unicode"/>
          <w:color w:val="000000"/>
          <w:sz w:val="22"/>
          <w:szCs w:val="22"/>
        </w:rPr>
        <w:t xml:space="preserve">rsity officials, sponsors of </w:t>
      </w:r>
      <w:r w:rsidR="00197ECA">
        <w:rPr>
          <w:rFonts w:asciiTheme="minorHAnsi" w:hAnsiTheme="minorHAnsi" w:cs="Lucida Sans Unicode"/>
          <w:color w:val="000000"/>
          <w:sz w:val="22"/>
          <w:szCs w:val="22"/>
        </w:rPr>
        <w:t>disbursed financial aid</w:t>
      </w:r>
      <w:r w:rsidRPr="0050397C">
        <w:rPr>
          <w:rFonts w:asciiTheme="minorHAnsi" w:hAnsiTheme="minorHAnsi" w:cs="Lucida Sans Unicode"/>
          <w:color w:val="000000"/>
          <w:sz w:val="22"/>
          <w:szCs w:val="22"/>
        </w:rPr>
        <w:t>, or gove</w:t>
      </w:r>
      <w:r>
        <w:rPr>
          <w:rFonts w:asciiTheme="minorHAnsi" w:hAnsiTheme="minorHAnsi" w:cs="Lucida Sans Unicode"/>
          <w:color w:val="000000"/>
          <w:sz w:val="22"/>
          <w:szCs w:val="22"/>
        </w:rPr>
        <w:t xml:space="preserve">rnment agencies upon receipt of </w:t>
      </w:r>
      <w:r w:rsidRPr="0050397C">
        <w:rPr>
          <w:rFonts w:asciiTheme="minorHAnsi" w:hAnsiTheme="minorHAnsi" w:cs="Lucida Sans Unicode"/>
          <w:color w:val="000000"/>
          <w:sz w:val="22"/>
          <w:szCs w:val="22"/>
        </w:rPr>
        <w:t>lawful subpoenas.</w:t>
      </w:r>
    </w:p>
    <w:p w14:paraId="5BAB9D64" w14:textId="191D1C3E" w:rsidR="00E36213" w:rsidRPr="00E36213" w:rsidRDefault="00E36213" w:rsidP="00E36213">
      <w:pPr>
        <w:pStyle w:val="Heading2"/>
      </w:pPr>
      <w:r>
        <w:t>Online Proctoring and Data Privacy</w:t>
      </w:r>
    </w:p>
    <w:p w14:paraId="344C069C" w14:textId="3E81C299" w:rsidR="0050397C" w:rsidRDefault="0050397C" w:rsidP="0050397C">
      <w:pPr>
        <w:pStyle w:val="NormalWeb"/>
        <w:shd w:val="clear" w:color="auto" w:fill="FFFFFF"/>
        <w:spacing w:before="0" w:after="240"/>
        <w:rPr>
          <w:rFonts w:asciiTheme="minorHAnsi" w:hAnsiTheme="minorHAnsi" w:cs="Lucida Sans Unicode"/>
          <w:color w:val="000000"/>
          <w:sz w:val="22"/>
          <w:szCs w:val="22"/>
        </w:rPr>
      </w:pPr>
      <w:r>
        <w:rPr>
          <w:rFonts w:asciiTheme="minorHAnsi" w:hAnsiTheme="minorHAnsi" w:cs="Lucida Sans Unicode"/>
          <w:color w:val="000000"/>
          <w:sz w:val="22"/>
          <w:szCs w:val="22"/>
        </w:rPr>
        <w:t>Portland State University’s School of Business uses a</w:t>
      </w:r>
      <w:r w:rsidR="004D23A8">
        <w:rPr>
          <w:rFonts w:asciiTheme="minorHAnsi" w:hAnsiTheme="minorHAnsi" w:cs="Lucida Sans Unicode"/>
          <w:color w:val="000000"/>
          <w:sz w:val="22"/>
          <w:szCs w:val="22"/>
        </w:rPr>
        <w:t>n automated,</w:t>
      </w:r>
      <w:r>
        <w:rPr>
          <w:rFonts w:asciiTheme="minorHAnsi" w:hAnsiTheme="minorHAnsi" w:cs="Lucida Sans Unicode"/>
          <w:color w:val="000000"/>
          <w:sz w:val="22"/>
          <w:szCs w:val="22"/>
        </w:rPr>
        <w:t xml:space="preserve"> third party</w:t>
      </w:r>
      <w:r w:rsidR="00BA110C">
        <w:rPr>
          <w:rFonts w:asciiTheme="minorHAnsi" w:hAnsiTheme="minorHAnsi" w:cs="Lucida Sans Unicode"/>
          <w:color w:val="000000"/>
          <w:sz w:val="22"/>
          <w:szCs w:val="22"/>
        </w:rPr>
        <w:t>,</w:t>
      </w:r>
      <w:r>
        <w:rPr>
          <w:rFonts w:asciiTheme="minorHAnsi" w:hAnsiTheme="minorHAnsi" w:cs="Lucida Sans Unicode"/>
          <w:color w:val="000000"/>
          <w:sz w:val="22"/>
          <w:szCs w:val="22"/>
        </w:rPr>
        <w:t xml:space="preserve"> remote proctoring service to monitor </w:t>
      </w:r>
      <w:r w:rsidR="00BA110C">
        <w:rPr>
          <w:rFonts w:asciiTheme="minorHAnsi" w:hAnsiTheme="minorHAnsi" w:cs="Lucida Sans Unicode"/>
          <w:color w:val="000000"/>
          <w:sz w:val="22"/>
          <w:szCs w:val="22"/>
        </w:rPr>
        <w:t>and</w:t>
      </w:r>
      <w:r w:rsidR="004D23A8">
        <w:rPr>
          <w:rFonts w:asciiTheme="minorHAnsi" w:hAnsiTheme="minorHAnsi" w:cs="Lucida Sans Unicode"/>
          <w:color w:val="000000"/>
          <w:sz w:val="22"/>
          <w:szCs w:val="22"/>
        </w:rPr>
        <w:t xml:space="preserve"> regulate</w:t>
      </w:r>
      <w:r w:rsidR="00BA110C">
        <w:rPr>
          <w:rFonts w:asciiTheme="minorHAnsi" w:hAnsiTheme="minorHAnsi" w:cs="Lucida Sans Unicode"/>
          <w:color w:val="000000"/>
          <w:sz w:val="22"/>
          <w:szCs w:val="22"/>
        </w:rPr>
        <w:t xml:space="preserve"> student behavior during online exams. </w:t>
      </w:r>
      <w:r w:rsidR="00E555D1">
        <w:rPr>
          <w:rFonts w:asciiTheme="minorHAnsi" w:hAnsiTheme="minorHAnsi" w:cs="Lucida Sans Unicode"/>
          <w:color w:val="000000"/>
          <w:sz w:val="22"/>
          <w:szCs w:val="22"/>
        </w:rPr>
        <w:t>The current service employed—Proctorio—</w:t>
      </w:r>
      <w:r w:rsidRPr="00AA599F">
        <w:rPr>
          <w:rFonts w:asciiTheme="minorHAnsi" w:hAnsiTheme="minorHAnsi" w:cs="Lucida Sans Unicode"/>
          <w:color w:val="000000"/>
          <w:sz w:val="22"/>
          <w:szCs w:val="22"/>
        </w:rPr>
        <w:t xml:space="preserve">never holds unencrypted academic records. All data that enters </w:t>
      </w:r>
      <w:r>
        <w:rPr>
          <w:rFonts w:asciiTheme="minorHAnsi" w:hAnsiTheme="minorHAnsi" w:cs="Lucida Sans Unicode"/>
          <w:color w:val="000000"/>
          <w:sz w:val="22"/>
          <w:szCs w:val="22"/>
        </w:rPr>
        <w:t>its</w:t>
      </w:r>
      <w:r w:rsidRPr="00AA599F">
        <w:rPr>
          <w:rFonts w:asciiTheme="minorHAnsi" w:hAnsiTheme="minorHAnsi" w:cs="Lucida Sans Unicode"/>
          <w:color w:val="000000"/>
          <w:sz w:val="22"/>
          <w:szCs w:val="22"/>
        </w:rPr>
        <w:t xml:space="preserve"> s</w:t>
      </w:r>
      <w:r>
        <w:rPr>
          <w:rFonts w:asciiTheme="minorHAnsi" w:hAnsiTheme="minorHAnsi" w:cs="Lucida Sans Unicode"/>
          <w:color w:val="000000"/>
          <w:sz w:val="22"/>
          <w:szCs w:val="22"/>
        </w:rPr>
        <w:t xml:space="preserve">ystem has been encrypted by </w:t>
      </w:r>
      <w:r w:rsidR="00E555D1">
        <w:rPr>
          <w:rFonts w:asciiTheme="minorHAnsi" w:hAnsiTheme="minorHAnsi" w:cs="Lucida Sans Unicode"/>
          <w:color w:val="000000"/>
          <w:sz w:val="22"/>
          <w:szCs w:val="22"/>
        </w:rPr>
        <w:t>PSU</w:t>
      </w:r>
      <w:r>
        <w:rPr>
          <w:rFonts w:asciiTheme="minorHAnsi" w:hAnsiTheme="minorHAnsi" w:cs="Lucida Sans Unicode"/>
          <w:color w:val="000000"/>
          <w:sz w:val="22"/>
          <w:szCs w:val="22"/>
        </w:rPr>
        <w:t xml:space="preserve">’s </w:t>
      </w:r>
      <w:r w:rsidRPr="00AA599F">
        <w:rPr>
          <w:rFonts w:asciiTheme="minorHAnsi" w:hAnsiTheme="minorHAnsi" w:cs="Lucida Sans Unicode"/>
          <w:color w:val="000000"/>
          <w:sz w:val="22"/>
          <w:szCs w:val="22"/>
        </w:rPr>
        <w:t>learning management system (LMS)</w:t>
      </w:r>
      <w:r w:rsidR="00E555D1">
        <w:rPr>
          <w:rFonts w:asciiTheme="minorHAnsi" w:hAnsiTheme="minorHAnsi" w:cs="Lucida Sans Unicode"/>
          <w:color w:val="000000"/>
          <w:sz w:val="22"/>
          <w:szCs w:val="22"/>
        </w:rPr>
        <w:t xml:space="preserve"> according to user roles,</w:t>
      </w:r>
      <w:r w:rsidRPr="00AA599F">
        <w:rPr>
          <w:rFonts w:asciiTheme="minorHAnsi" w:hAnsiTheme="minorHAnsi" w:cs="Lucida Sans Unicode"/>
          <w:color w:val="000000"/>
          <w:sz w:val="22"/>
          <w:szCs w:val="22"/>
        </w:rPr>
        <w:t xml:space="preserve"> and can only be unlocked by authorized</w:t>
      </w:r>
      <w:r>
        <w:rPr>
          <w:rFonts w:asciiTheme="minorHAnsi" w:hAnsiTheme="minorHAnsi" w:cs="Lucida Sans Unicode"/>
          <w:color w:val="000000"/>
          <w:sz w:val="22"/>
          <w:szCs w:val="22"/>
        </w:rPr>
        <w:t xml:space="preserve"> instructors</w:t>
      </w:r>
      <w:r w:rsidRPr="00AA599F">
        <w:rPr>
          <w:rFonts w:asciiTheme="minorHAnsi" w:hAnsiTheme="minorHAnsi" w:cs="Lucida Sans Unicode"/>
          <w:color w:val="000000"/>
          <w:sz w:val="22"/>
          <w:szCs w:val="22"/>
        </w:rPr>
        <w:t xml:space="preserve"> </w:t>
      </w:r>
      <w:r>
        <w:rPr>
          <w:rFonts w:asciiTheme="minorHAnsi" w:hAnsiTheme="minorHAnsi" w:cs="Lucida Sans Unicode"/>
          <w:color w:val="000000"/>
          <w:sz w:val="22"/>
          <w:szCs w:val="22"/>
        </w:rPr>
        <w:t xml:space="preserve">and campus administrators </w:t>
      </w:r>
      <w:r w:rsidRPr="00E555D1">
        <w:rPr>
          <w:rFonts w:asciiTheme="minorHAnsi" w:hAnsiTheme="minorHAnsi" w:cs="Lucida Sans Unicode"/>
          <w:i/>
          <w:color w:val="000000"/>
          <w:sz w:val="22"/>
          <w:szCs w:val="22"/>
        </w:rPr>
        <w:t>within</w:t>
      </w:r>
      <w:r w:rsidRPr="00AA599F">
        <w:rPr>
          <w:rFonts w:asciiTheme="minorHAnsi" w:hAnsiTheme="minorHAnsi" w:cs="Lucida Sans Unicode"/>
          <w:color w:val="000000"/>
          <w:sz w:val="22"/>
          <w:szCs w:val="22"/>
        </w:rPr>
        <w:t xml:space="preserve"> the LMS. This restricts information from being shared with users who do not </w:t>
      </w:r>
      <w:r w:rsidR="00E555D1">
        <w:rPr>
          <w:rFonts w:asciiTheme="minorHAnsi" w:hAnsiTheme="minorHAnsi" w:cs="Lucida Sans Unicode"/>
          <w:color w:val="000000"/>
          <w:sz w:val="22"/>
          <w:szCs w:val="22"/>
        </w:rPr>
        <w:t>possess a</w:t>
      </w:r>
      <w:r w:rsidRPr="00AA599F">
        <w:rPr>
          <w:rFonts w:asciiTheme="minorHAnsi" w:hAnsiTheme="minorHAnsi" w:cs="Lucida Sans Unicode"/>
          <w:color w:val="000000"/>
          <w:sz w:val="22"/>
          <w:szCs w:val="22"/>
        </w:rPr>
        <w:t xml:space="preserve"> </w:t>
      </w:r>
      <w:r w:rsidR="00E555D1">
        <w:rPr>
          <w:rFonts w:asciiTheme="minorHAnsi" w:hAnsiTheme="minorHAnsi" w:cs="Lucida Sans Unicode"/>
          <w:color w:val="000000"/>
          <w:sz w:val="22"/>
          <w:szCs w:val="22"/>
        </w:rPr>
        <w:t xml:space="preserve">PSU </w:t>
      </w:r>
      <w:r w:rsidRPr="00AA599F">
        <w:rPr>
          <w:rFonts w:asciiTheme="minorHAnsi" w:hAnsiTheme="minorHAnsi" w:cs="Lucida Sans Unicode"/>
          <w:color w:val="000000"/>
          <w:sz w:val="22"/>
          <w:szCs w:val="22"/>
        </w:rPr>
        <w:t>"School Official" role</w:t>
      </w:r>
      <w:r w:rsidR="00E555D1">
        <w:rPr>
          <w:rFonts w:asciiTheme="minorHAnsi" w:hAnsiTheme="minorHAnsi" w:cs="Lucida Sans Unicode"/>
          <w:color w:val="000000"/>
          <w:sz w:val="22"/>
          <w:szCs w:val="22"/>
        </w:rPr>
        <w:t>,</w:t>
      </w:r>
      <w:r>
        <w:rPr>
          <w:rFonts w:asciiTheme="minorHAnsi" w:hAnsiTheme="minorHAnsi" w:cs="Lucida Sans Unicode"/>
          <w:color w:val="000000"/>
          <w:sz w:val="22"/>
          <w:szCs w:val="22"/>
        </w:rPr>
        <w:t xml:space="preserve"> </w:t>
      </w:r>
      <w:r w:rsidRPr="00AA599F">
        <w:rPr>
          <w:rFonts w:asciiTheme="minorHAnsi" w:hAnsiTheme="minorHAnsi" w:cs="Lucida Sans Unicode"/>
          <w:color w:val="000000"/>
          <w:sz w:val="22"/>
          <w:szCs w:val="22"/>
        </w:rPr>
        <w:t>prevent</w:t>
      </w:r>
      <w:r w:rsidR="00E555D1">
        <w:rPr>
          <w:rFonts w:asciiTheme="minorHAnsi" w:hAnsiTheme="minorHAnsi" w:cs="Lucida Sans Unicode"/>
          <w:color w:val="000000"/>
          <w:sz w:val="22"/>
          <w:szCs w:val="22"/>
        </w:rPr>
        <w:t>ing</w:t>
      </w:r>
      <w:r w:rsidRPr="00AA599F">
        <w:rPr>
          <w:rFonts w:asciiTheme="minorHAnsi" w:hAnsiTheme="minorHAnsi" w:cs="Lucida Sans Unicode"/>
          <w:color w:val="000000"/>
          <w:sz w:val="22"/>
          <w:szCs w:val="22"/>
        </w:rPr>
        <w:t xml:space="preserve"> </w:t>
      </w:r>
      <w:r>
        <w:rPr>
          <w:rFonts w:asciiTheme="minorHAnsi" w:hAnsiTheme="minorHAnsi" w:cs="Lucida Sans Unicode"/>
          <w:color w:val="000000"/>
          <w:sz w:val="22"/>
          <w:szCs w:val="22"/>
        </w:rPr>
        <w:t>unauthorized individuals</w:t>
      </w:r>
      <w:r w:rsidR="00E555D1">
        <w:rPr>
          <w:rFonts w:asciiTheme="minorHAnsi" w:hAnsiTheme="minorHAnsi" w:cs="Lucida Sans Unicode"/>
          <w:color w:val="000000"/>
          <w:sz w:val="22"/>
          <w:szCs w:val="22"/>
        </w:rPr>
        <w:t xml:space="preserve"> and</w:t>
      </w:r>
      <w:r>
        <w:rPr>
          <w:rFonts w:asciiTheme="minorHAnsi" w:hAnsiTheme="minorHAnsi" w:cs="Lucida Sans Unicode"/>
          <w:color w:val="000000"/>
          <w:sz w:val="22"/>
          <w:szCs w:val="22"/>
        </w:rPr>
        <w:t xml:space="preserve"> Proctorio</w:t>
      </w:r>
      <w:r w:rsidR="00E555D1">
        <w:rPr>
          <w:rFonts w:asciiTheme="minorHAnsi" w:hAnsiTheme="minorHAnsi" w:cs="Lucida Sans Unicode"/>
          <w:color w:val="000000"/>
          <w:sz w:val="22"/>
          <w:szCs w:val="22"/>
        </w:rPr>
        <w:t xml:space="preserve"> </w:t>
      </w:r>
      <w:r w:rsidRPr="00AA599F">
        <w:rPr>
          <w:rFonts w:asciiTheme="minorHAnsi" w:hAnsiTheme="minorHAnsi" w:cs="Lucida Sans Unicode"/>
          <w:color w:val="000000"/>
          <w:sz w:val="22"/>
          <w:szCs w:val="22"/>
        </w:rPr>
        <w:t>from accessing stud</w:t>
      </w:r>
      <w:r>
        <w:rPr>
          <w:rFonts w:asciiTheme="minorHAnsi" w:hAnsiTheme="minorHAnsi" w:cs="Lucida Sans Unicode"/>
          <w:color w:val="000000"/>
          <w:sz w:val="22"/>
          <w:szCs w:val="22"/>
        </w:rPr>
        <w:t>ent data.</w:t>
      </w:r>
    </w:p>
    <w:p w14:paraId="56CFEE82" w14:textId="5AC06EAB" w:rsidR="00B74EC1" w:rsidRPr="00197ECA" w:rsidRDefault="00E555D1" w:rsidP="00197ECA">
      <w:pPr>
        <w:pStyle w:val="NormalWeb"/>
        <w:numPr>
          <w:ilvl w:val="0"/>
          <w:numId w:val="28"/>
        </w:numPr>
        <w:shd w:val="clear" w:color="auto" w:fill="FFFFFF"/>
        <w:spacing w:before="0" w:after="240"/>
        <w:rPr>
          <w:rFonts w:asciiTheme="minorHAnsi" w:hAnsiTheme="minorHAnsi" w:cs="Lucida Sans Unicode"/>
          <w:color w:val="000000"/>
          <w:sz w:val="22"/>
          <w:szCs w:val="22"/>
        </w:rPr>
      </w:pPr>
      <w:r w:rsidRPr="00B74EC1">
        <w:rPr>
          <w:rFonts w:asciiTheme="minorHAnsi" w:hAnsiTheme="minorHAnsi" w:cs="Lucida Sans Unicode"/>
          <w:color w:val="000000"/>
          <w:sz w:val="22"/>
          <w:szCs w:val="22"/>
        </w:rPr>
        <w:t>Proctorio delivers all content via SSL (TLS 1.2)</w:t>
      </w:r>
      <w:r w:rsidR="00B74EC1">
        <w:rPr>
          <w:rFonts w:asciiTheme="minorHAnsi" w:hAnsiTheme="minorHAnsi" w:cs="Lucida Sans Unicode"/>
          <w:color w:val="000000"/>
          <w:sz w:val="22"/>
          <w:szCs w:val="22"/>
        </w:rPr>
        <w:t>,</w:t>
      </w:r>
      <w:r w:rsidRPr="00B74EC1">
        <w:rPr>
          <w:rFonts w:asciiTheme="minorHAnsi" w:hAnsiTheme="minorHAnsi" w:cs="Lucida Sans Unicode"/>
          <w:color w:val="000000"/>
          <w:sz w:val="22"/>
          <w:szCs w:val="22"/>
        </w:rPr>
        <w:t xml:space="preserve"> and their servers are compliant to PCI and HIPAA standards.</w:t>
      </w:r>
      <w:r w:rsidR="00197ECA">
        <w:rPr>
          <w:rFonts w:asciiTheme="minorHAnsi" w:hAnsiTheme="minorHAnsi" w:cs="Lucida Sans Unicode"/>
          <w:color w:val="000000"/>
          <w:sz w:val="22"/>
          <w:szCs w:val="22"/>
        </w:rPr>
        <w:t xml:space="preserve"> </w:t>
      </w:r>
      <w:r w:rsidR="00197ECA" w:rsidRPr="00B74EC1">
        <w:rPr>
          <w:rFonts w:asciiTheme="minorHAnsi" w:hAnsiTheme="minorHAnsi"/>
          <w:sz w:val="22"/>
          <w:szCs w:val="22"/>
        </w:rPr>
        <w:t>Cookies used by the Services cannot be used to personally id</w:t>
      </w:r>
      <w:r w:rsidR="00197ECA">
        <w:rPr>
          <w:rFonts w:asciiTheme="minorHAnsi" w:hAnsiTheme="minorHAnsi"/>
          <w:sz w:val="22"/>
          <w:szCs w:val="22"/>
        </w:rPr>
        <w:t>entify you.</w:t>
      </w:r>
    </w:p>
    <w:p w14:paraId="6D379A1C" w14:textId="2626E5C9" w:rsidR="00B74EC1" w:rsidRPr="00B74EC1" w:rsidRDefault="00B74EC1" w:rsidP="00B74EC1">
      <w:pPr>
        <w:pStyle w:val="NormalWeb"/>
        <w:numPr>
          <w:ilvl w:val="0"/>
          <w:numId w:val="28"/>
        </w:numPr>
        <w:shd w:val="clear" w:color="auto" w:fill="FFFFFF"/>
        <w:spacing w:before="0" w:after="240"/>
        <w:rPr>
          <w:rFonts w:asciiTheme="minorHAnsi" w:hAnsiTheme="minorHAnsi" w:cs="Lucida Sans Unicode"/>
          <w:color w:val="000000"/>
          <w:sz w:val="22"/>
          <w:szCs w:val="22"/>
        </w:rPr>
      </w:pPr>
      <w:r w:rsidRPr="00B74EC1">
        <w:rPr>
          <w:rFonts w:asciiTheme="minorHAnsi" w:hAnsiTheme="minorHAnsi" w:cs="Lucida Sans Unicode"/>
          <w:color w:val="000000"/>
          <w:sz w:val="22"/>
          <w:szCs w:val="22"/>
        </w:rPr>
        <w:t>Proctorio never requests disclosure of PII</w:t>
      </w:r>
      <w:r>
        <w:rPr>
          <w:rFonts w:asciiTheme="minorHAnsi" w:hAnsiTheme="minorHAnsi" w:cs="Lucida Sans Unicode"/>
          <w:color w:val="000000"/>
          <w:sz w:val="22"/>
          <w:szCs w:val="22"/>
        </w:rPr>
        <w:t xml:space="preserve">. </w:t>
      </w:r>
      <w:r w:rsidR="0050397C" w:rsidRPr="00B74EC1">
        <w:rPr>
          <w:rFonts w:asciiTheme="minorHAnsi" w:hAnsiTheme="minorHAnsi" w:cs="Lucida Sans Unicode"/>
          <w:color w:val="000000"/>
          <w:sz w:val="22"/>
          <w:szCs w:val="22"/>
        </w:rPr>
        <w:t xml:space="preserve">When going through technical support channels, </w:t>
      </w:r>
      <w:r>
        <w:rPr>
          <w:rFonts w:asciiTheme="minorHAnsi" w:hAnsiTheme="minorHAnsi" w:cs="Lucida Sans Unicode"/>
          <w:color w:val="000000"/>
          <w:sz w:val="22"/>
          <w:szCs w:val="22"/>
        </w:rPr>
        <w:t>representatives see</w:t>
      </w:r>
      <w:r w:rsidRPr="00B74EC1">
        <w:rPr>
          <w:rFonts w:asciiTheme="minorHAnsi" w:hAnsiTheme="minorHAnsi" w:cs="Lucida Sans Unicode"/>
          <w:color w:val="000000"/>
          <w:sz w:val="22"/>
          <w:szCs w:val="22"/>
        </w:rPr>
        <w:t xml:space="preserve"> student inquiries </w:t>
      </w:r>
      <w:r>
        <w:rPr>
          <w:rFonts w:asciiTheme="minorHAnsi" w:hAnsiTheme="minorHAnsi" w:cs="Lucida Sans Unicode"/>
          <w:color w:val="000000"/>
          <w:sz w:val="22"/>
          <w:szCs w:val="22"/>
        </w:rPr>
        <w:t>as</w:t>
      </w:r>
      <w:r w:rsidRPr="00B74EC1">
        <w:rPr>
          <w:rFonts w:asciiTheme="minorHAnsi" w:hAnsiTheme="minorHAnsi" w:cs="Lucida Sans Unicode"/>
          <w:color w:val="000000"/>
          <w:sz w:val="22"/>
          <w:szCs w:val="22"/>
        </w:rPr>
        <w:t xml:space="preserve"> unique, random</w:t>
      </w:r>
      <w:r>
        <w:rPr>
          <w:rFonts w:asciiTheme="minorHAnsi" w:hAnsiTheme="minorHAnsi" w:cs="Lucida Sans Unicode"/>
          <w:color w:val="000000"/>
          <w:sz w:val="22"/>
          <w:szCs w:val="22"/>
        </w:rPr>
        <w:t>ized</w:t>
      </w:r>
      <w:r w:rsidRPr="00B74EC1">
        <w:rPr>
          <w:rFonts w:asciiTheme="minorHAnsi" w:hAnsiTheme="minorHAnsi" w:cs="Lucida Sans Unicode"/>
          <w:color w:val="000000"/>
          <w:sz w:val="22"/>
          <w:szCs w:val="22"/>
        </w:rPr>
        <w:t xml:space="preserve"> identifiers according to institution. </w:t>
      </w:r>
      <w:r>
        <w:rPr>
          <w:rFonts w:asciiTheme="minorHAnsi" w:hAnsiTheme="minorHAnsi" w:cs="Lucida Sans Unicode"/>
          <w:color w:val="000000"/>
          <w:sz w:val="22"/>
          <w:szCs w:val="22"/>
        </w:rPr>
        <w:t>T</w:t>
      </w:r>
      <w:r w:rsidRPr="00B74EC1">
        <w:rPr>
          <w:rFonts w:asciiTheme="minorHAnsi" w:hAnsiTheme="minorHAnsi" w:cs="Lucida Sans Unicode"/>
          <w:color w:val="000000"/>
          <w:sz w:val="22"/>
          <w:szCs w:val="22"/>
        </w:rPr>
        <w:t>he service is accessible through PSU’s LMS, with costs assumed by The School of Business</w:t>
      </w:r>
      <w:r>
        <w:rPr>
          <w:rFonts w:asciiTheme="minorHAnsi" w:hAnsiTheme="minorHAnsi" w:cs="Lucida Sans Unicode"/>
          <w:color w:val="000000"/>
          <w:sz w:val="22"/>
          <w:szCs w:val="22"/>
        </w:rPr>
        <w:t>, meaning no secondary accounts or payment information</w:t>
      </w:r>
      <w:r w:rsidRPr="00B74EC1">
        <w:rPr>
          <w:rFonts w:asciiTheme="minorHAnsi" w:hAnsiTheme="minorHAnsi" w:cs="Lucida Sans Unicode"/>
          <w:color w:val="000000"/>
          <w:sz w:val="22"/>
          <w:szCs w:val="22"/>
        </w:rPr>
        <w:t>.</w:t>
      </w:r>
    </w:p>
    <w:p w14:paraId="5E21DB48" w14:textId="3E4A8D31" w:rsidR="00B74EC1" w:rsidRPr="00B74EC1" w:rsidRDefault="004D23A8" w:rsidP="00B74EC1">
      <w:pPr>
        <w:pStyle w:val="NormalWeb"/>
        <w:numPr>
          <w:ilvl w:val="0"/>
          <w:numId w:val="28"/>
        </w:numPr>
        <w:shd w:val="clear" w:color="auto" w:fill="FFFFFF"/>
        <w:spacing w:before="0" w:after="240"/>
        <w:rPr>
          <w:rFonts w:asciiTheme="minorHAnsi" w:hAnsiTheme="minorHAnsi" w:cs="Lucida Sans Unicode"/>
          <w:color w:val="000000"/>
          <w:sz w:val="22"/>
          <w:szCs w:val="22"/>
        </w:rPr>
      </w:pPr>
      <w:r>
        <w:rPr>
          <w:rFonts w:asciiTheme="minorHAnsi" w:hAnsiTheme="minorHAnsi"/>
          <w:sz w:val="22"/>
          <w:szCs w:val="22"/>
        </w:rPr>
        <w:t>Proctorio is</w:t>
      </w:r>
      <w:r w:rsidR="00BE6362" w:rsidRPr="00B74EC1">
        <w:rPr>
          <w:rFonts w:asciiTheme="minorHAnsi" w:hAnsiTheme="minorHAnsi"/>
          <w:sz w:val="22"/>
          <w:szCs w:val="22"/>
        </w:rPr>
        <w:t xml:space="preserve"> a Chrome extension</w:t>
      </w:r>
      <w:r>
        <w:rPr>
          <w:rFonts w:asciiTheme="minorHAnsi" w:hAnsiTheme="minorHAnsi"/>
          <w:sz w:val="22"/>
          <w:szCs w:val="22"/>
        </w:rPr>
        <w:t xml:space="preserve"> that requires activation in order </w:t>
      </w:r>
      <w:r w:rsidR="00BE6362" w:rsidRPr="00B74EC1">
        <w:rPr>
          <w:rFonts w:asciiTheme="minorHAnsi" w:hAnsiTheme="minorHAnsi"/>
          <w:sz w:val="22"/>
          <w:szCs w:val="22"/>
        </w:rPr>
        <w:t>run</w:t>
      </w:r>
      <w:r>
        <w:rPr>
          <w:rFonts w:asciiTheme="minorHAnsi" w:hAnsiTheme="minorHAnsi"/>
          <w:sz w:val="22"/>
          <w:szCs w:val="22"/>
        </w:rPr>
        <w:t xml:space="preserve"> within a section</w:t>
      </w:r>
      <w:r w:rsidR="00B74EC1">
        <w:rPr>
          <w:rFonts w:asciiTheme="minorHAnsi" w:hAnsiTheme="minorHAnsi"/>
          <w:sz w:val="22"/>
          <w:szCs w:val="22"/>
        </w:rPr>
        <w:t>.</w:t>
      </w:r>
      <w:r>
        <w:rPr>
          <w:rFonts w:asciiTheme="minorHAnsi" w:hAnsiTheme="minorHAnsi"/>
          <w:sz w:val="22"/>
          <w:szCs w:val="22"/>
        </w:rPr>
        <w:t xml:space="preserve"> Th</w:t>
      </w:r>
      <w:r w:rsidR="001840CC">
        <w:rPr>
          <w:rFonts w:asciiTheme="minorHAnsi" w:hAnsiTheme="minorHAnsi"/>
          <w:sz w:val="22"/>
          <w:szCs w:val="22"/>
        </w:rPr>
        <w:t>is</w:t>
      </w:r>
      <w:r>
        <w:rPr>
          <w:rFonts w:asciiTheme="minorHAnsi" w:hAnsiTheme="minorHAnsi"/>
          <w:sz w:val="22"/>
          <w:szCs w:val="22"/>
        </w:rPr>
        <w:t xml:space="preserve"> service only </w:t>
      </w:r>
      <w:r w:rsidR="001840CC">
        <w:rPr>
          <w:rFonts w:asciiTheme="minorHAnsi" w:hAnsiTheme="minorHAnsi"/>
          <w:sz w:val="22"/>
          <w:szCs w:val="22"/>
        </w:rPr>
        <w:t>operates</w:t>
      </w:r>
      <w:r>
        <w:rPr>
          <w:rFonts w:asciiTheme="minorHAnsi" w:hAnsiTheme="minorHAnsi"/>
          <w:sz w:val="22"/>
          <w:szCs w:val="22"/>
        </w:rPr>
        <w:t xml:space="preserve"> on </w:t>
      </w:r>
      <w:r w:rsidR="001840CC">
        <w:rPr>
          <w:rFonts w:asciiTheme="minorHAnsi" w:hAnsiTheme="minorHAnsi"/>
          <w:sz w:val="22"/>
          <w:szCs w:val="22"/>
        </w:rPr>
        <w:t>specified</w:t>
      </w:r>
      <w:r>
        <w:rPr>
          <w:rFonts w:asciiTheme="minorHAnsi" w:hAnsiTheme="minorHAnsi"/>
          <w:sz w:val="22"/>
          <w:szCs w:val="22"/>
        </w:rPr>
        <w:t xml:space="preserve"> quiz pages within the </w:t>
      </w:r>
      <w:r w:rsidR="001840CC">
        <w:rPr>
          <w:rFonts w:asciiTheme="minorHAnsi" w:hAnsiTheme="minorHAnsi"/>
          <w:sz w:val="22"/>
          <w:szCs w:val="22"/>
        </w:rPr>
        <w:t>LMS</w:t>
      </w:r>
      <w:r>
        <w:rPr>
          <w:rFonts w:asciiTheme="minorHAnsi" w:hAnsiTheme="minorHAnsi"/>
          <w:sz w:val="22"/>
          <w:szCs w:val="22"/>
        </w:rPr>
        <w:t>.</w:t>
      </w:r>
    </w:p>
    <w:p w14:paraId="49FDB554" w14:textId="77777777" w:rsidR="00AA599F" w:rsidRDefault="00AA599F" w:rsidP="00AA599F">
      <w:pPr>
        <w:pStyle w:val="Heading1"/>
      </w:pPr>
      <w:r>
        <w:t>Title IX Reporting Policy</w:t>
      </w:r>
    </w:p>
    <w:p w14:paraId="25224656" w14:textId="77777777" w:rsidR="00AA599F" w:rsidRPr="005839B2" w:rsidRDefault="00AA599F" w:rsidP="00AA599F">
      <w:r w:rsidRPr="005839B2">
        <w:t xml:space="preserve">As an instructor, one of my responsibilities is to help create a safe learning environment for my students and for the campus as a whole. We expect a culture of professionalism and mutual respect in our department and class. You may report any incident of discrimination or discriminatory harassment, including sexual harassment, to either the </w:t>
      </w:r>
      <w:hyperlink r:id="rId21" w:tgtFrame="_blank" w:history="1">
        <w:r w:rsidRPr="005839B2">
          <w:rPr>
            <w:rStyle w:val="Hyperlink"/>
            <w:rFonts w:eastAsiaTheme="majorEastAsia" w:cstheme="minorHAnsi"/>
          </w:rPr>
          <w:t>Office of Equity and Compliance</w:t>
        </w:r>
      </w:hyperlink>
      <w:r w:rsidRPr="005839B2">
        <w:t xml:space="preserve"> or the </w:t>
      </w:r>
      <w:hyperlink r:id="rId22" w:tgtFrame="_blank" w:history="1">
        <w:r w:rsidRPr="005839B2">
          <w:rPr>
            <w:rStyle w:val="Hyperlink"/>
            <w:rFonts w:eastAsiaTheme="majorEastAsia" w:cstheme="minorHAnsi"/>
          </w:rPr>
          <w:t>Office of the Dean of Student Life</w:t>
        </w:r>
      </w:hyperlink>
      <w:r w:rsidRPr="005839B2">
        <w:t>.</w:t>
      </w:r>
    </w:p>
    <w:p w14:paraId="4DDABE38" w14:textId="23846BEB" w:rsidR="00840B36" w:rsidRPr="00E45BF4" w:rsidRDefault="00AA599F" w:rsidP="00FF61A2">
      <w:r w:rsidRPr="005839B2">
        <w:t xml:space="preserve">Please be aware that as a faculty member, I have the responsibility to report any instances of sexual harassment, sexual violence and/or other forms of prohibited discrimination. If preferred, you can instead share information about sexual harassment or sexual violence with a </w:t>
      </w:r>
      <w:hyperlink r:id="rId23" w:tgtFrame="_blank" w:history="1">
        <w:r w:rsidRPr="005839B2">
          <w:rPr>
            <w:rStyle w:val="Hyperlink"/>
            <w:rFonts w:eastAsiaTheme="majorEastAsia" w:cstheme="minorHAnsi"/>
          </w:rPr>
          <w:t>confidential employee</w:t>
        </w:r>
      </w:hyperlink>
      <w:r w:rsidRPr="005839B2">
        <w:t xml:space="preserve"> who does not have this reporting responsibility. For more information about Title IX, please complete the required student module </w:t>
      </w:r>
      <w:hyperlink r:id="rId24" w:tgtFrame="_blank" w:history="1">
        <w:r w:rsidRPr="005839B2">
          <w:rPr>
            <w:rStyle w:val="Hyperlink"/>
            <w:rFonts w:eastAsiaTheme="majorEastAsia" w:cstheme="minorHAnsi"/>
          </w:rPr>
          <w:t>Creating a Safe Campus</w:t>
        </w:r>
      </w:hyperlink>
      <w:r w:rsidRPr="005839B2">
        <w:t xml:space="preserve"> in D2L.</w:t>
      </w:r>
    </w:p>
    <w:sectPr w:rsidR="00840B36" w:rsidRPr="00E45BF4" w:rsidSect="00D83614">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20B0604020202020204"/>
    <w:charset w:val="00"/>
    <w:family w:val="auto"/>
    <w:notTrueType/>
    <w:pitch w:val="default"/>
    <w:sig w:usb0="00000003" w:usb1="00000000" w:usb2="00000000" w:usb3="00000000" w:csb0="00000001" w:csb1="00000000"/>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4A6C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36169"/>
    <w:multiLevelType w:val="hybridMultilevel"/>
    <w:tmpl w:val="7D70D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B1E25"/>
    <w:multiLevelType w:val="hybridMultilevel"/>
    <w:tmpl w:val="38987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A3E2E"/>
    <w:multiLevelType w:val="multilevel"/>
    <w:tmpl w:val="4B1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31C8A"/>
    <w:multiLevelType w:val="hybridMultilevel"/>
    <w:tmpl w:val="35E6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468D3"/>
    <w:multiLevelType w:val="multilevel"/>
    <w:tmpl w:val="42C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95FED"/>
    <w:multiLevelType w:val="hybridMultilevel"/>
    <w:tmpl w:val="B2261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E9308C"/>
    <w:multiLevelType w:val="multilevel"/>
    <w:tmpl w:val="353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A3D8F"/>
    <w:multiLevelType w:val="multilevel"/>
    <w:tmpl w:val="BE4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E61D7"/>
    <w:multiLevelType w:val="multilevel"/>
    <w:tmpl w:val="853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C65AE"/>
    <w:multiLevelType w:val="hybridMultilevel"/>
    <w:tmpl w:val="3C4CA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6C209C"/>
    <w:multiLevelType w:val="hybridMultilevel"/>
    <w:tmpl w:val="578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64C28"/>
    <w:multiLevelType w:val="multilevel"/>
    <w:tmpl w:val="CBF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63B92"/>
    <w:multiLevelType w:val="multilevel"/>
    <w:tmpl w:val="45B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55FF3"/>
    <w:multiLevelType w:val="multilevel"/>
    <w:tmpl w:val="717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80823"/>
    <w:multiLevelType w:val="hybridMultilevel"/>
    <w:tmpl w:val="983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D3EAE"/>
    <w:multiLevelType w:val="multilevel"/>
    <w:tmpl w:val="B6D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42283"/>
    <w:multiLevelType w:val="multilevel"/>
    <w:tmpl w:val="8E7C9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3136E"/>
    <w:multiLevelType w:val="hybridMultilevel"/>
    <w:tmpl w:val="2A461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345735"/>
    <w:multiLevelType w:val="multilevel"/>
    <w:tmpl w:val="AB86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93138"/>
    <w:multiLevelType w:val="hybridMultilevel"/>
    <w:tmpl w:val="FFC0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25CA6"/>
    <w:multiLevelType w:val="multilevel"/>
    <w:tmpl w:val="3D1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A1F71"/>
    <w:multiLevelType w:val="hybridMultilevel"/>
    <w:tmpl w:val="C1940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D801B6"/>
    <w:multiLevelType w:val="hybridMultilevel"/>
    <w:tmpl w:val="9A14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C0C52"/>
    <w:multiLevelType w:val="hybridMultilevel"/>
    <w:tmpl w:val="BE2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12CA7"/>
    <w:multiLevelType w:val="hybridMultilevel"/>
    <w:tmpl w:val="987A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E1E5F"/>
    <w:multiLevelType w:val="hybridMultilevel"/>
    <w:tmpl w:val="DA069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F501BE"/>
    <w:multiLevelType w:val="hybridMultilevel"/>
    <w:tmpl w:val="2A70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315A2"/>
    <w:multiLevelType w:val="multilevel"/>
    <w:tmpl w:val="221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D4F42"/>
    <w:multiLevelType w:val="hybridMultilevel"/>
    <w:tmpl w:val="BA82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A151C"/>
    <w:multiLevelType w:val="hybridMultilevel"/>
    <w:tmpl w:val="F67A4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C5649"/>
    <w:multiLevelType w:val="hybridMultilevel"/>
    <w:tmpl w:val="B3F43D62"/>
    <w:lvl w:ilvl="0" w:tplc="562C52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7"/>
  </w:num>
  <w:num w:numId="3">
    <w:abstractNumId w:val="30"/>
  </w:num>
  <w:num w:numId="4">
    <w:abstractNumId w:val="18"/>
  </w:num>
  <w:num w:numId="5">
    <w:abstractNumId w:val="12"/>
  </w:num>
  <w:num w:numId="6">
    <w:abstractNumId w:val="8"/>
  </w:num>
  <w:num w:numId="7">
    <w:abstractNumId w:val="7"/>
  </w:num>
  <w:num w:numId="8">
    <w:abstractNumId w:val="28"/>
  </w:num>
  <w:num w:numId="9">
    <w:abstractNumId w:val="5"/>
  </w:num>
  <w:num w:numId="10">
    <w:abstractNumId w:val="21"/>
  </w:num>
  <w:num w:numId="11">
    <w:abstractNumId w:val="13"/>
  </w:num>
  <w:num w:numId="12">
    <w:abstractNumId w:val="9"/>
  </w:num>
  <w:num w:numId="13">
    <w:abstractNumId w:val="14"/>
  </w:num>
  <w:num w:numId="14">
    <w:abstractNumId w:val="19"/>
  </w:num>
  <w:num w:numId="15">
    <w:abstractNumId w:val="25"/>
  </w:num>
  <w:num w:numId="16">
    <w:abstractNumId w:val="16"/>
  </w:num>
  <w:num w:numId="17">
    <w:abstractNumId w:val="31"/>
  </w:num>
  <w:num w:numId="18">
    <w:abstractNumId w:val="0"/>
  </w:num>
  <w:num w:numId="19">
    <w:abstractNumId w:val="24"/>
  </w:num>
  <w:num w:numId="20">
    <w:abstractNumId w:val="6"/>
  </w:num>
  <w:num w:numId="21">
    <w:abstractNumId w:val="20"/>
  </w:num>
  <w:num w:numId="22">
    <w:abstractNumId w:val="3"/>
  </w:num>
  <w:num w:numId="23">
    <w:abstractNumId w:val="27"/>
  </w:num>
  <w:num w:numId="24">
    <w:abstractNumId w:val="26"/>
  </w:num>
  <w:num w:numId="25">
    <w:abstractNumId w:val="10"/>
  </w:num>
  <w:num w:numId="26">
    <w:abstractNumId w:val="22"/>
  </w:num>
  <w:num w:numId="27">
    <w:abstractNumId w:val="11"/>
  </w:num>
  <w:num w:numId="28">
    <w:abstractNumId w:val="4"/>
  </w:num>
  <w:num w:numId="29">
    <w:abstractNumId w:val="2"/>
  </w:num>
  <w:num w:numId="30">
    <w:abstractNumId w:val="23"/>
  </w:num>
  <w:num w:numId="31">
    <w:abstractNumId w:val="1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B36"/>
    <w:rsid w:val="00092D05"/>
    <w:rsid w:val="000F5F2A"/>
    <w:rsid w:val="00110FD0"/>
    <w:rsid w:val="001405FF"/>
    <w:rsid w:val="001840CC"/>
    <w:rsid w:val="00197ECA"/>
    <w:rsid w:val="001A0BE2"/>
    <w:rsid w:val="00271A08"/>
    <w:rsid w:val="00326229"/>
    <w:rsid w:val="00344F99"/>
    <w:rsid w:val="00360306"/>
    <w:rsid w:val="0039454E"/>
    <w:rsid w:val="003F0D4F"/>
    <w:rsid w:val="003F6792"/>
    <w:rsid w:val="0046309C"/>
    <w:rsid w:val="00491D9D"/>
    <w:rsid w:val="004D23A8"/>
    <w:rsid w:val="004E3FF7"/>
    <w:rsid w:val="0050397C"/>
    <w:rsid w:val="006030FF"/>
    <w:rsid w:val="00694801"/>
    <w:rsid w:val="00694E7C"/>
    <w:rsid w:val="006A13DD"/>
    <w:rsid w:val="007E1756"/>
    <w:rsid w:val="0081131B"/>
    <w:rsid w:val="00840B36"/>
    <w:rsid w:val="008946DC"/>
    <w:rsid w:val="008D7B93"/>
    <w:rsid w:val="008F67C6"/>
    <w:rsid w:val="00915B9E"/>
    <w:rsid w:val="00933D15"/>
    <w:rsid w:val="009D6637"/>
    <w:rsid w:val="00A052C9"/>
    <w:rsid w:val="00A1467D"/>
    <w:rsid w:val="00A57024"/>
    <w:rsid w:val="00A85C64"/>
    <w:rsid w:val="00AA599F"/>
    <w:rsid w:val="00AF5217"/>
    <w:rsid w:val="00B36437"/>
    <w:rsid w:val="00B74EC1"/>
    <w:rsid w:val="00B76BFD"/>
    <w:rsid w:val="00B83CCD"/>
    <w:rsid w:val="00BA110C"/>
    <w:rsid w:val="00BE6362"/>
    <w:rsid w:val="00D776A7"/>
    <w:rsid w:val="00D83614"/>
    <w:rsid w:val="00E06E86"/>
    <w:rsid w:val="00E36213"/>
    <w:rsid w:val="00E45BF4"/>
    <w:rsid w:val="00E555D1"/>
    <w:rsid w:val="00EB7146"/>
    <w:rsid w:val="00FF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A256"/>
  <w15:chartTrackingRefBased/>
  <w15:docId w15:val="{FBB2725A-AD7E-44A7-B76A-A2B73C63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1A2"/>
    <w:pPr>
      <w:spacing w:before="240"/>
    </w:pPr>
  </w:style>
  <w:style w:type="paragraph" w:styleId="Heading1">
    <w:name w:val="heading 1"/>
    <w:basedOn w:val="Normal"/>
    <w:next w:val="Normal"/>
    <w:link w:val="Heading1Char"/>
    <w:uiPriority w:val="9"/>
    <w:qFormat/>
    <w:rsid w:val="00D83614"/>
    <w:pPr>
      <w:keepNext/>
      <w:keepLines/>
      <w:spacing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4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1A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6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0B36"/>
    <w:pPr>
      <w:ind w:left="720"/>
      <w:contextualSpacing/>
    </w:pPr>
  </w:style>
  <w:style w:type="character" w:customStyle="1" w:styleId="Heading2Char">
    <w:name w:val="Heading 2 Char"/>
    <w:basedOn w:val="DefaultParagraphFont"/>
    <w:link w:val="Heading2"/>
    <w:uiPriority w:val="9"/>
    <w:rsid w:val="00840B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454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45BF4"/>
    <w:rPr>
      <w:color w:val="0000FF"/>
      <w:u w:val="single"/>
    </w:rPr>
  </w:style>
  <w:style w:type="paragraph" w:styleId="NormalWeb">
    <w:name w:val="Normal (Web)"/>
    <w:basedOn w:val="Normal"/>
    <w:uiPriority w:val="99"/>
    <w:unhideWhenUsed/>
    <w:rsid w:val="00EB7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146"/>
    <w:rPr>
      <w:b/>
      <w:bCs/>
    </w:rPr>
  </w:style>
  <w:style w:type="table" w:styleId="TableGrid">
    <w:name w:val="Table Grid"/>
    <w:basedOn w:val="TableNormal"/>
    <w:uiPriority w:val="39"/>
    <w:rsid w:val="00EB7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57024"/>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57024"/>
    <w:rPr>
      <w:rFonts w:eastAsiaTheme="minorEastAsia"/>
      <w:color w:val="5A5A5A" w:themeColor="text1" w:themeTint="A5"/>
      <w:spacing w:val="15"/>
      <w:sz w:val="28"/>
    </w:rPr>
  </w:style>
  <w:style w:type="table" w:styleId="PlainTable1">
    <w:name w:val="Plain Table 1"/>
    <w:basedOn w:val="TableNormal"/>
    <w:uiPriority w:val="41"/>
    <w:rsid w:val="006030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F61A2"/>
    <w:pPr>
      <w:spacing w:after="0" w:line="240" w:lineRule="auto"/>
    </w:pPr>
  </w:style>
  <w:style w:type="character" w:styleId="FollowedHyperlink">
    <w:name w:val="FollowedHyperlink"/>
    <w:basedOn w:val="DefaultParagraphFont"/>
    <w:uiPriority w:val="99"/>
    <w:semiHidden/>
    <w:unhideWhenUsed/>
    <w:rsid w:val="0050397C"/>
    <w:rPr>
      <w:color w:val="954F72" w:themeColor="followedHyperlink"/>
      <w:u w:val="single"/>
    </w:rPr>
  </w:style>
  <w:style w:type="paragraph" w:styleId="HTMLPreformatted">
    <w:name w:val="HTML Preformatted"/>
    <w:basedOn w:val="Normal"/>
    <w:link w:val="HTMLPreformattedChar"/>
    <w:uiPriority w:val="99"/>
    <w:semiHidden/>
    <w:unhideWhenUsed/>
    <w:rsid w:val="0093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D1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77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2316">
      <w:bodyDiv w:val="1"/>
      <w:marLeft w:val="0"/>
      <w:marRight w:val="0"/>
      <w:marTop w:val="0"/>
      <w:marBottom w:val="0"/>
      <w:divBdr>
        <w:top w:val="none" w:sz="0" w:space="0" w:color="auto"/>
        <w:left w:val="none" w:sz="0" w:space="0" w:color="auto"/>
        <w:bottom w:val="none" w:sz="0" w:space="0" w:color="auto"/>
        <w:right w:val="none" w:sz="0" w:space="0" w:color="auto"/>
      </w:divBdr>
    </w:div>
    <w:div w:id="373116734">
      <w:bodyDiv w:val="1"/>
      <w:marLeft w:val="0"/>
      <w:marRight w:val="0"/>
      <w:marTop w:val="0"/>
      <w:marBottom w:val="0"/>
      <w:divBdr>
        <w:top w:val="none" w:sz="0" w:space="0" w:color="auto"/>
        <w:left w:val="none" w:sz="0" w:space="0" w:color="auto"/>
        <w:bottom w:val="none" w:sz="0" w:space="0" w:color="auto"/>
        <w:right w:val="none" w:sz="0" w:space="0" w:color="auto"/>
      </w:divBdr>
    </w:div>
    <w:div w:id="450175027">
      <w:bodyDiv w:val="1"/>
      <w:marLeft w:val="0"/>
      <w:marRight w:val="0"/>
      <w:marTop w:val="0"/>
      <w:marBottom w:val="0"/>
      <w:divBdr>
        <w:top w:val="none" w:sz="0" w:space="0" w:color="auto"/>
        <w:left w:val="none" w:sz="0" w:space="0" w:color="auto"/>
        <w:bottom w:val="none" w:sz="0" w:space="0" w:color="auto"/>
        <w:right w:val="none" w:sz="0" w:space="0" w:color="auto"/>
      </w:divBdr>
    </w:div>
    <w:div w:id="642463036">
      <w:bodyDiv w:val="1"/>
      <w:marLeft w:val="0"/>
      <w:marRight w:val="0"/>
      <w:marTop w:val="0"/>
      <w:marBottom w:val="0"/>
      <w:divBdr>
        <w:top w:val="none" w:sz="0" w:space="0" w:color="auto"/>
        <w:left w:val="none" w:sz="0" w:space="0" w:color="auto"/>
        <w:bottom w:val="none" w:sz="0" w:space="0" w:color="auto"/>
        <w:right w:val="none" w:sz="0" w:space="0" w:color="auto"/>
      </w:divBdr>
    </w:div>
    <w:div w:id="744305718">
      <w:bodyDiv w:val="1"/>
      <w:marLeft w:val="0"/>
      <w:marRight w:val="0"/>
      <w:marTop w:val="0"/>
      <w:marBottom w:val="0"/>
      <w:divBdr>
        <w:top w:val="none" w:sz="0" w:space="0" w:color="auto"/>
        <w:left w:val="none" w:sz="0" w:space="0" w:color="auto"/>
        <w:bottom w:val="none" w:sz="0" w:space="0" w:color="auto"/>
        <w:right w:val="none" w:sz="0" w:space="0" w:color="auto"/>
      </w:divBdr>
    </w:div>
    <w:div w:id="864633755">
      <w:bodyDiv w:val="1"/>
      <w:marLeft w:val="0"/>
      <w:marRight w:val="0"/>
      <w:marTop w:val="0"/>
      <w:marBottom w:val="0"/>
      <w:divBdr>
        <w:top w:val="none" w:sz="0" w:space="0" w:color="auto"/>
        <w:left w:val="none" w:sz="0" w:space="0" w:color="auto"/>
        <w:bottom w:val="none" w:sz="0" w:space="0" w:color="auto"/>
        <w:right w:val="none" w:sz="0" w:space="0" w:color="auto"/>
      </w:divBdr>
    </w:div>
    <w:div w:id="870991210">
      <w:bodyDiv w:val="1"/>
      <w:marLeft w:val="0"/>
      <w:marRight w:val="0"/>
      <w:marTop w:val="0"/>
      <w:marBottom w:val="0"/>
      <w:divBdr>
        <w:top w:val="none" w:sz="0" w:space="0" w:color="auto"/>
        <w:left w:val="none" w:sz="0" w:space="0" w:color="auto"/>
        <w:bottom w:val="none" w:sz="0" w:space="0" w:color="auto"/>
        <w:right w:val="none" w:sz="0" w:space="0" w:color="auto"/>
      </w:divBdr>
    </w:div>
    <w:div w:id="1023628042">
      <w:bodyDiv w:val="1"/>
      <w:marLeft w:val="0"/>
      <w:marRight w:val="0"/>
      <w:marTop w:val="0"/>
      <w:marBottom w:val="0"/>
      <w:divBdr>
        <w:top w:val="none" w:sz="0" w:space="0" w:color="auto"/>
        <w:left w:val="none" w:sz="0" w:space="0" w:color="auto"/>
        <w:bottom w:val="none" w:sz="0" w:space="0" w:color="auto"/>
        <w:right w:val="none" w:sz="0" w:space="0" w:color="auto"/>
      </w:divBdr>
    </w:div>
    <w:div w:id="1034577176">
      <w:bodyDiv w:val="1"/>
      <w:marLeft w:val="0"/>
      <w:marRight w:val="0"/>
      <w:marTop w:val="0"/>
      <w:marBottom w:val="0"/>
      <w:divBdr>
        <w:top w:val="none" w:sz="0" w:space="0" w:color="auto"/>
        <w:left w:val="none" w:sz="0" w:space="0" w:color="auto"/>
        <w:bottom w:val="none" w:sz="0" w:space="0" w:color="auto"/>
        <w:right w:val="none" w:sz="0" w:space="0" w:color="auto"/>
      </w:divBdr>
    </w:div>
    <w:div w:id="1040014253">
      <w:bodyDiv w:val="1"/>
      <w:marLeft w:val="0"/>
      <w:marRight w:val="0"/>
      <w:marTop w:val="0"/>
      <w:marBottom w:val="0"/>
      <w:divBdr>
        <w:top w:val="none" w:sz="0" w:space="0" w:color="auto"/>
        <w:left w:val="none" w:sz="0" w:space="0" w:color="auto"/>
        <w:bottom w:val="none" w:sz="0" w:space="0" w:color="auto"/>
        <w:right w:val="none" w:sz="0" w:space="0" w:color="auto"/>
      </w:divBdr>
      <w:divsChild>
        <w:div w:id="984699918">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12549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7799">
      <w:bodyDiv w:val="1"/>
      <w:marLeft w:val="0"/>
      <w:marRight w:val="0"/>
      <w:marTop w:val="0"/>
      <w:marBottom w:val="0"/>
      <w:divBdr>
        <w:top w:val="none" w:sz="0" w:space="0" w:color="auto"/>
        <w:left w:val="none" w:sz="0" w:space="0" w:color="auto"/>
        <w:bottom w:val="none" w:sz="0" w:space="0" w:color="auto"/>
        <w:right w:val="none" w:sz="0" w:space="0" w:color="auto"/>
      </w:divBdr>
    </w:div>
    <w:div w:id="1181312936">
      <w:bodyDiv w:val="1"/>
      <w:marLeft w:val="0"/>
      <w:marRight w:val="0"/>
      <w:marTop w:val="0"/>
      <w:marBottom w:val="0"/>
      <w:divBdr>
        <w:top w:val="none" w:sz="0" w:space="0" w:color="auto"/>
        <w:left w:val="none" w:sz="0" w:space="0" w:color="auto"/>
        <w:bottom w:val="none" w:sz="0" w:space="0" w:color="auto"/>
        <w:right w:val="none" w:sz="0" w:space="0" w:color="auto"/>
      </w:divBdr>
    </w:div>
    <w:div w:id="1210646583">
      <w:bodyDiv w:val="1"/>
      <w:marLeft w:val="0"/>
      <w:marRight w:val="0"/>
      <w:marTop w:val="0"/>
      <w:marBottom w:val="0"/>
      <w:divBdr>
        <w:top w:val="none" w:sz="0" w:space="0" w:color="auto"/>
        <w:left w:val="none" w:sz="0" w:space="0" w:color="auto"/>
        <w:bottom w:val="none" w:sz="0" w:space="0" w:color="auto"/>
        <w:right w:val="none" w:sz="0" w:space="0" w:color="auto"/>
      </w:divBdr>
    </w:div>
    <w:div w:id="1254557205">
      <w:bodyDiv w:val="1"/>
      <w:marLeft w:val="0"/>
      <w:marRight w:val="0"/>
      <w:marTop w:val="0"/>
      <w:marBottom w:val="0"/>
      <w:divBdr>
        <w:top w:val="none" w:sz="0" w:space="0" w:color="auto"/>
        <w:left w:val="none" w:sz="0" w:space="0" w:color="auto"/>
        <w:bottom w:val="none" w:sz="0" w:space="0" w:color="auto"/>
        <w:right w:val="none" w:sz="0" w:space="0" w:color="auto"/>
      </w:divBdr>
    </w:div>
    <w:div w:id="1266576523">
      <w:bodyDiv w:val="1"/>
      <w:marLeft w:val="0"/>
      <w:marRight w:val="0"/>
      <w:marTop w:val="0"/>
      <w:marBottom w:val="0"/>
      <w:divBdr>
        <w:top w:val="none" w:sz="0" w:space="0" w:color="auto"/>
        <w:left w:val="none" w:sz="0" w:space="0" w:color="auto"/>
        <w:bottom w:val="none" w:sz="0" w:space="0" w:color="auto"/>
        <w:right w:val="none" w:sz="0" w:space="0" w:color="auto"/>
      </w:divBdr>
    </w:div>
    <w:div w:id="1289317451">
      <w:bodyDiv w:val="1"/>
      <w:marLeft w:val="0"/>
      <w:marRight w:val="0"/>
      <w:marTop w:val="0"/>
      <w:marBottom w:val="0"/>
      <w:divBdr>
        <w:top w:val="none" w:sz="0" w:space="0" w:color="auto"/>
        <w:left w:val="none" w:sz="0" w:space="0" w:color="auto"/>
        <w:bottom w:val="none" w:sz="0" w:space="0" w:color="auto"/>
        <w:right w:val="none" w:sz="0" w:space="0" w:color="auto"/>
      </w:divBdr>
    </w:div>
    <w:div w:id="1325166632">
      <w:bodyDiv w:val="1"/>
      <w:marLeft w:val="0"/>
      <w:marRight w:val="0"/>
      <w:marTop w:val="0"/>
      <w:marBottom w:val="0"/>
      <w:divBdr>
        <w:top w:val="none" w:sz="0" w:space="0" w:color="auto"/>
        <w:left w:val="none" w:sz="0" w:space="0" w:color="auto"/>
        <w:bottom w:val="none" w:sz="0" w:space="0" w:color="auto"/>
        <w:right w:val="none" w:sz="0" w:space="0" w:color="auto"/>
      </w:divBdr>
    </w:div>
    <w:div w:id="1403213587">
      <w:bodyDiv w:val="1"/>
      <w:marLeft w:val="0"/>
      <w:marRight w:val="0"/>
      <w:marTop w:val="0"/>
      <w:marBottom w:val="0"/>
      <w:divBdr>
        <w:top w:val="none" w:sz="0" w:space="0" w:color="auto"/>
        <w:left w:val="none" w:sz="0" w:space="0" w:color="auto"/>
        <w:bottom w:val="none" w:sz="0" w:space="0" w:color="auto"/>
        <w:right w:val="none" w:sz="0" w:space="0" w:color="auto"/>
      </w:divBdr>
    </w:div>
    <w:div w:id="1414887044">
      <w:bodyDiv w:val="1"/>
      <w:marLeft w:val="0"/>
      <w:marRight w:val="0"/>
      <w:marTop w:val="0"/>
      <w:marBottom w:val="0"/>
      <w:divBdr>
        <w:top w:val="none" w:sz="0" w:space="0" w:color="auto"/>
        <w:left w:val="none" w:sz="0" w:space="0" w:color="auto"/>
        <w:bottom w:val="none" w:sz="0" w:space="0" w:color="auto"/>
        <w:right w:val="none" w:sz="0" w:space="0" w:color="auto"/>
      </w:divBdr>
    </w:div>
    <w:div w:id="1497767227">
      <w:bodyDiv w:val="1"/>
      <w:marLeft w:val="0"/>
      <w:marRight w:val="0"/>
      <w:marTop w:val="0"/>
      <w:marBottom w:val="0"/>
      <w:divBdr>
        <w:top w:val="none" w:sz="0" w:space="0" w:color="auto"/>
        <w:left w:val="none" w:sz="0" w:space="0" w:color="auto"/>
        <w:bottom w:val="none" w:sz="0" w:space="0" w:color="auto"/>
        <w:right w:val="none" w:sz="0" w:space="0" w:color="auto"/>
      </w:divBdr>
    </w:div>
    <w:div w:id="1556814037">
      <w:bodyDiv w:val="1"/>
      <w:marLeft w:val="0"/>
      <w:marRight w:val="0"/>
      <w:marTop w:val="0"/>
      <w:marBottom w:val="0"/>
      <w:divBdr>
        <w:top w:val="none" w:sz="0" w:space="0" w:color="auto"/>
        <w:left w:val="none" w:sz="0" w:space="0" w:color="auto"/>
        <w:bottom w:val="none" w:sz="0" w:space="0" w:color="auto"/>
        <w:right w:val="none" w:sz="0" w:space="0" w:color="auto"/>
      </w:divBdr>
    </w:div>
    <w:div w:id="1573345153">
      <w:bodyDiv w:val="1"/>
      <w:marLeft w:val="0"/>
      <w:marRight w:val="0"/>
      <w:marTop w:val="0"/>
      <w:marBottom w:val="0"/>
      <w:divBdr>
        <w:top w:val="none" w:sz="0" w:space="0" w:color="auto"/>
        <w:left w:val="none" w:sz="0" w:space="0" w:color="auto"/>
        <w:bottom w:val="none" w:sz="0" w:space="0" w:color="auto"/>
        <w:right w:val="none" w:sz="0" w:space="0" w:color="auto"/>
      </w:divBdr>
    </w:div>
    <w:div w:id="1608000643">
      <w:bodyDiv w:val="1"/>
      <w:marLeft w:val="0"/>
      <w:marRight w:val="0"/>
      <w:marTop w:val="0"/>
      <w:marBottom w:val="0"/>
      <w:divBdr>
        <w:top w:val="none" w:sz="0" w:space="0" w:color="auto"/>
        <w:left w:val="none" w:sz="0" w:space="0" w:color="auto"/>
        <w:bottom w:val="none" w:sz="0" w:space="0" w:color="auto"/>
        <w:right w:val="none" w:sz="0" w:space="0" w:color="auto"/>
      </w:divBdr>
    </w:div>
    <w:div w:id="1716811814">
      <w:bodyDiv w:val="1"/>
      <w:marLeft w:val="0"/>
      <w:marRight w:val="0"/>
      <w:marTop w:val="0"/>
      <w:marBottom w:val="0"/>
      <w:divBdr>
        <w:top w:val="none" w:sz="0" w:space="0" w:color="auto"/>
        <w:left w:val="none" w:sz="0" w:space="0" w:color="auto"/>
        <w:bottom w:val="none" w:sz="0" w:space="0" w:color="auto"/>
        <w:right w:val="none" w:sz="0" w:space="0" w:color="auto"/>
      </w:divBdr>
    </w:div>
    <w:div w:id="1755543944">
      <w:bodyDiv w:val="1"/>
      <w:marLeft w:val="0"/>
      <w:marRight w:val="0"/>
      <w:marTop w:val="0"/>
      <w:marBottom w:val="0"/>
      <w:divBdr>
        <w:top w:val="none" w:sz="0" w:space="0" w:color="auto"/>
        <w:left w:val="none" w:sz="0" w:space="0" w:color="auto"/>
        <w:bottom w:val="none" w:sz="0" w:space="0" w:color="auto"/>
        <w:right w:val="none" w:sz="0" w:space="0" w:color="auto"/>
      </w:divBdr>
    </w:div>
    <w:div w:id="1817868672">
      <w:bodyDiv w:val="1"/>
      <w:marLeft w:val="0"/>
      <w:marRight w:val="0"/>
      <w:marTop w:val="0"/>
      <w:marBottom w:val="0"/>
      <w:divBdr>
        <w:top w:val="none" w:sz="0" w:space="0" w:color="auto"/>
        <w:left w:val="none" w:sz="0" w:space="0" w:color="auto"/>
        <w:bottom w:val="none" w:sz="0" w:space="0" w:color="auto"/>
        <w:right w:val="none" w:sz="0" w:space="0" w:color="auto"/>
      </w:divBdr>
    </w:div>
    <w:div w:id="1908606406">
      <w:bodyDiv w:val="1"/>
      <w:marLeft w:val="0"/>
      <w:marRight w:val="0"/>
      <w:marTop w:val="0"/>
      <w:marBottom w:val="0"/>
      <w:divBdr>
        <w:top w:val="none" w:sz="0" w:space="0" w:color="auto"/>
        <w:left w:val="none" w:sz="0" w:space="0" w:color="auto"/>
        <w:bottom w:val="none" w:sz="0" w:space="0" w:color="auto"/>
        <w:right w:val="none" w:sz="0" w:space="0" w:color="auto"/>
      </w:divBdr>
    </w:div>
    <w:div w:id="1929583440">
      <w:bodyDiv w:val="1"/>
      <w:marLeft w:val="0"/>
      <w:marRight w:val="0"/>
      <w:marTop w:val="0"/>
      <w:marBottom w:val="0"/>
      <w:divBdr>
        <w:top w:val="none" w:sz="0" w:space="0" w:color="auto"/>
        <w:left w:val="none" w:sz="0" w:space="0" w:color="auto"/>
        <w:bottom w:val="none" w:sz="0" w:space="0" w:color="auto"/>
        <w:right w:val="none" w:sz="0" w:space="0" w:color="auto"/>
      </w:divBdr>
      <w:divsChild>
        <w:div w:id="950355816">
          <w:marLeft w:val="0"/>
          <w:marRight w:val="0"/>
          <w:marTop w:val="0"/>
          <w:marBottom w:val="0"/>
          <w:divBdr>
            <w:top w:val="none" w:sz="0" w:space="0" w:color="auto"/>
            <w:left w:val="none" w:sz="0" w:space="0" w:color="auto"/>
            <w:bottom w:val="none" w:sz="0" w:space="0" w:color="auto"/>
            <w:right w:val="none" w:sz="0" w:space="0" w:color="auto"/>
          </w:divBdr>
          <w:divsChild>
            <w:div w:id="12612351">
              <w:marLeft w:val="0"/>
              <w:marRight w:val="0"/>
              <w:marTop w:val="0"/>
              <w:marBottom w:val="0"/>
              <w:divBdr>
                <w:top w:val="none" w:sz="0" w:space="0" w:color="auto"/>
                <w:left w:val="none" w:sz="0" w:space="0" w:color="auto"/>
                <w:bottom w:val="none" w:sz="0" w:space="0" w:color="auto"/>
                <w:right w:val="none" w:sz="0" w:space="0" w:color="auto"/>
              </w:divBdr>
              <w:divsChild>
                <w:div w:id="2482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1129">
      <w:bodyDiv w:val="1"/>
      <w:marLeft w:val="0"/>
      <w:marRight w:val="0"/>
      <w:marTop w:val="0"/>
      <w:marBottom w:val="0"/>
      <w:divBdr>
        <w:top w:val="none" w:sz="0" w:space="0" w:color="auto"/>
        <w:left w:val="none" w:sz="0" w:space="0" w:color="auto"/>
        <w:bottom w:val="none" w:sz="0" w:space="0" w:color="auto"/>
        <w:right w:val="none" w:sz="0" w:space="0" w:color="auto"/>
      </w:divBdr>
    </w:div>
    <w:div w:id="1995836382">
      <w:bodyDiv w:val="1"/>
      <w:marLeft w:val="0"/>
      <w:marRight w:val="0"/>
      <w:marTop w:val="0"/>
      <w:marBottom w:val="0"/>
      <w:divBdr>
        <w:top w:val="none" w:sz="0" w:space="0" w:color="auto"/>
        <w:left w:val="none" w:sz="0" w:space="0" w:color="auto"/>
        <w:bottom w:val="none" w:sz="0" w:space="0" w:color="auto"/>
        <w:right w:val="none" w:sz="0" w:space="0" w:color="auto"/>
      </w:divBdr>
      <w:divsChild>
        <w:div w:id="1262378804">
          <w:marLeft w:val="0"/>
          <w:marRight w:val="0"/>
          <w:marTop w:val="0"/>
          <w:marBottom w:val="0"/>
          <w:divBdr>
            <w:top w:val="none" w:sz="0" w:space="0" w:color="auto"/>
            <w:left w:val="none" w:sz="0" w:space="0" w:color="auto"/>
            <w:bottom w:val="none" w:sz="0" w:space="0" w:color="auto"/>
            <w:right w:val="none" w:sz="0" w:space="0" w:color="auto"/>
          </w:divBdr>
          <w:divsChild>
            <w:div w:id="706831786">
              <w:marLeft w:val="0"/>
              <w:marRight w:val="0"/>
              <w:marTop w:val="0"/>
              <w:marBottom w:val="0"/>
              <w:divBdr>
                <w:top w:val="none" w:sz="0" w:space="0" w:color="auto"/>
                <w:left w:val="none" w:sz="0" w:space="0" w:color="auto"/>
                <w:bottom w:val="none" w:sz="0" w:space="0" w:color="auto"/>
                <w:right w:val="none" w:sz="0" w:space="0" w:color="auto"/>
              </w:divBdr>
              <w:divsChild>
                <w:div w:id="20937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0842">
      <w:bodyDiv w:val="1"/>
      <w:marLeft w:val="0"/>
      <w:marRight w:val="0"/>
      <w:marTop w:val="0"/>
      <w:marBottom w:val="0"/>
      <w:divBdr>
        <w:top w:val="none" w:sz="0" w:space="0" w:color="auto"/>
        <w:left w:val="none" w:sz="0" w:space="0" w:color="auto"/>
        <w:bottom w:val="none" w:sz="0" w:space="0" w:color="auto"/>
        <w:right w:val="none" w:sz="0" w:space="0" w:color="auto"/>
      </w:divBdr>
    </w:div>
    <w:div w:id="2029598538">
      <w:bodyDiv w:val="1"/>
      <w:marLeft w:val="0"/>
      <w:marRight w:val="0"/>
      <w:marTop w:val="0"/>
      <w:marBottom w:val="0"/>
      <w:divBdr>
        <w:top w:val="none" w:sz="0" w:space="0" w:color="auto"/>
        <w:left w:val="none" w:sz="0" w:space="0" w:color="auto"/>
        <w:bottom w:val="none" w:sz="0" w:space="0" w:color="auto"/>
        <w:right w:val="none" w:sz="0" w:space="0" w:color="auto"/>
      </w:divBdr>
    </w:div>
    <w:div w:id="2062051234">
      <w:bodyDiv w:val="1"/>
      <w:marLeft w:val="0"/>
      <w:marRight w:val="0"/>
      <w:marTop w:val="0"/>
      <w:marBottom w:val="0"/>
      <w:divBdr>
        <w:top w:val="none" w:sz="0" w:space="0" w:color="auto"/>
        <w:left w:val="none" w:sz="0" w:space="0" w:color="auto"/>
        <w:bottom w:val="none" w:sz="0" w:space="0" w:color="auto"/>
        <w:right w:val="none" w:sz="0" w:space="0" w:color="auto"/>
      </w:divBdr>
    </w:div>
    <w:div w:id="21455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x.edu/sba/business-intelligence-and-analytics-certificate" TargetMode="External"/><Relationship Id="rId13" Type="http://schemas.openxmlformats.org/officeDocument/2006/relationships/hyperlink" Target="https://denali.accessiblelearning.com/PDX/" TargetMode="External"/><Relationship Id="rId18" Type="http://schemas.openxmlformats.org/officeDocument/2006/relationships/hyperlink" Target="https://www.pdx.edu/oai/turnitin-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dx.edu/diversity/office-of-equity-compliance" TargetMode="External"/><Relationship Id="rId7" Type="http://schemas.openxmlformats.org/officeDocument/2006/relationships/hyperlink" Target="https://www.pdx.edu/sba/business-intelligence-and-analytics-certificate" TargetMode="External"/><Relationship Id="rId12" Type="http://schemas.openxmlformats.org/officeDocument/2006/relationships/hyperlink" Target="http://owl.english.purdue.edu/owl/resource/560/01/" TargetMode="External"/><Relationship Id="rId17" Type="http://schemas.openxmlformats.org/officeDocument/2006/relationships/hyperlink" Target="http://guides.library.pdx.edu/cit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dx.edu/dos/resources-for-students" TargetMode="External"/><Relationship Id="rId20" Type="http://schemas.openxmlformats.org/officeDocument/2006/relationships/hyperlink" Target="https://get.proctor.io/" TargetMode="External"/><Relationship Id="rId1" Type="http://schemas.openxmlformats.org/officeDocument/2006/relationships/numbering" Target="numbering.xml"/><Relationship Id="rId6" Type="http://schemas.openxmlformats.org/officeDocument/2006/relationships/hyperlink" Target="https://www.pdx.edu/oit/contact" TargetMode="External"/><Relationship Id="rId11" Type="http://schemas.openxmlformats.org/officeDocument/2006/relationships/hyperlink" Target="http://library.pdx.edu/diy/avoiding-plagiarism" TargetMode="External"/><Relationship Id="rId24" Type="http://schemas.openxmlformats.org/officeDocument/2006/relationships/hyperlink" Target="https://www.pdx.edu/sexual-assault/safe-campus-module" TargetMode="External"/><Relationship Id="rId5" Type="http://schemas.openxmlformats.org/officeDocument/2006/relationships/hyperlink" Target="mailto:gerbing@pdx.edu" TargetMode="External"/><Relationship Id="rId15" Type="http://schemas.openxmlformats.org/officeDocument/2006/relationships/hyperlink" Target="mailto:drc@pdx.edu" TargetMode="External"/><Relationship Id="rId23" Type="http://schemas.openxmlformats.org/officeDocument/2006/relationships/hyperlink" Target="https://www.pdx.edu/sexual-assault/get-help" TargetMode="External"/><Relationship Id="rId10" Type="http://schemas.openxmlformats.org/officeDocument/2006/relationships/hyperlink" Target="https://www.pdx.edu/dos/resources-for-students" TargetMode="External"/><Relationship Id="rId19" Type="http://schemas.openxmlformats.org/officeDocument/2006/relationships/hyperlink" Target="https://portlandstate.qualtrics.com/SE/?SID=SV_a66OA7FVDVol1FX" TargetMode="External"/><Relationship Id="rId4" Type="http://schemas.openxmlformats.org/officeDocument/2006/relationships/webSettings" Target="webSettings.xml"/><Relationship Id="rId9" Type="http://schemas.openxmlformats.org/officeDocument/2006/relationships/hyperlink" Target="http://bigdat2019.irdta.eu/" TargetMode="External"/><Relationship Id="rId14" Type="http://schemas.openxmlformats.org/officeDocument/2006/relationships/hyperlink" Target="http://www.pdx.edu/drc/" TargetMode="External"/><Relationship Id="rId22" Type="http://schemas.openxmlformats.org/officeDocument/2006/relationships/hyperlink" Target="https://www.pdx.edu/dos/student-conduct-at-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Greer</dc:creator>
  <cp:keywords/>
  <dc:description/>
  <cp:lastModifiedBy>David Gerbing</cp:lastModifiedBy>
  <cp:revision>9</cp:revision>
  <dcterms:created xsi:type="dcterms:W3CDTF">2018-02-28T19:56:00Z</dcterms:created>
  <dcterms:modified xsi:type="dcterms:W3CDTF">2019-04-01T15:36:00Z</dcterms:modified>
</cp:coreProperties>
</file>