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无人机集群网络中区块链辅助无证书聚合签名认证方案的深度对比研究与实验基准报告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引言与研究背景综述</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研究背景与问题陈述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无人机（UAV）技术在军事侦察、环境监测、物流配送及应急通信等领域的广泛应用，无人机网络的通信安全已成为学术界与工业界关注的核心议题。由于无人机网络通常部署在开放、动态且由于电磁干扰或物理阻隔导致通信链路不稳定的环境中，其通信链路极易遭受窃听、伪造、重放及中间人（MitM）攻击。因此，建立高效、轻量级且具备强鲁棒性的身份认证机制是保障无人机网络安全运行的基石。</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阁下提出的《基于区块链辅助的无人机网络无证书聚合签名高效一对多认证方案》</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针对当前无人机网络认证面临的痛点进行了极具针对性的创新。特别是，该方案采用了</w:t>
      </w:r>
      <w:r w:rsidDel="00000000" w:rsidR="00000000" w:rsidRPr="00000000">
        <w:rPr>
          <w:rFonts w:ascii="Google Sans" w:cs="Google Sans" w:eastAsia="Google Sans" w:hAnsi="Google Sans"/>
          <w:b w:val="1"/>
          <w:bCs w:val="1"/>
          <w:color w:val="1f1f1f"/>
          <w:rtl w:val="0"/>
        </w:rPr>
        <w:t xml:space="preserve">分簇网络拓扑（Cluster-Based Topology）</w:t>
      </w:r>
      <w:r w:rsidDel="00000000" w:rsidR="00000000" w:rsidRPr="00000000">
        <w:rPr>
          <w:rFonts w:ascii="Google Sans" w:cs="Google Sans" w:eastAsia="Google Sans" w:hAnsi="Google Sans"/>
          <w:color w:val="1f1f1f"/>
          <w:rtl w:val="0"/>
        </w:rPr>
        <w:t xml:space="preserve">，利用</w:t>
      </w:r>
      <w:r w:rsidDel="00000000" w:rsidR="00000000" w:rsidRPr="00000000">
        <w:rPr>
          <w:rFonts w:ascii="Google Sans" w:cs="Google Sans" w:eastAsia="Google Sans" w:hAnsi="Google Sans"/>
          <w:b w:val="1"/>
          <w:bCs w:val="1"/>
          <w:color w:val="1f1f1f"/>
          <w:rtl w:val="0"/>
        </w:rPr>
        <w:t xml:space="preserve">无证书聚合签名（Certificateless Aggregate Signatures, CLAS）实现簇成员向簇头的高效批量认证，并结合基于身份的广播加密（Identity-Based Broadcast Encryption, IBBE）实现簇头向簇成员的安全会话密钥分发。此外，方案引入了区块链</w:t>
      </w:r>
      <w:r w:rsidDel="00000000" w:rsidR="00000000" w:rsidRPr="00000000">
        <w:rPr>
          <w:rFonts w:ascii="Google Sans" w:cs="Google Sans" w:eastAsia="Google Sans" w:hAnsi="Google Sans"/>
          <w:color w:val="1f1f1f"/>
          <w:rtl w:val="0"/>
        </w:rPr>
        <w:t xml:space="preserve">技术以解决中心化地面控制站（GCS）的单点故障问题，并设计了**递归分治验证（RDCV）**策略以替代复杂的机器学习模型进行故障恢复。</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报告目标与范围</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本报告旨在为阁下的论文寻找最匹配的</w:t>
      </w:r>
      <w:r w:rsidDel="00000000" w:rsidR="00000000" w:rsidRPr="00000000">
        <w:rPr>
          <w:rFonts w:ascii="Google Sans" w:cs="Google Sans" w:eastAsia="Google Sans" w:hAnsi="Google Sans"/>
          <w:b w:val="1"/>
          <w:bCs w:val="1"/>
          <w:color w:val="1f1f1f"/>
          <w:rtl w:val="0"/>
        </w:rPr>
        <w:t xml:space="preserve">同类对比文献（Baseline Papers）</w:t>
      </w:r>
      <w:r w:rsidDel="00000000" w:rsidR="00000000" w:rsidRPr="00000000">
        <w:rPr>
          <w:rFonts w:ascii="Google Sans" w:cs="Google Sans" w:eastAsia="Google Sans" w:hAnsi="Google Sans"/>
          <w:color w:val="1f1f1f"/>
          <w:rtl w:val="0"/>
        </w:rPr>
        <w:t xml:space="preserve">，以支持实验部分的计算开销与通信开销对比。尽管阁下的灵感来源文献 Chen et 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在“一对多”认证和“非法请求识别”方面提供了重要的理论基础，但其应用场景主要聚焦于“补充无人机（Complemental UAV）入网”这一特定瞬态过程，且采用了强化学习（RL）进行故障检测，这与阁下关注的</w:t>
      </w:r>
      <w:r w:rsidDel="00000000" w:rsidR="00000000" w:rsidRPr="00000000">
        <w:rPr>
          <w:rFonts w:ascii="Google Sans" w:cs="Google Sans" w:eastAsia="Google Sans" w:hAnsi="Google Sans"/>
          <w:b w:val="1"/>
          <w:bCs w:val="1"/>
          <w:color w:val="1f1f1f"/>
          <w:rtl w:val="0"/>
        </w:rPr>
        <w:t xml:space="preserve">持续性分簇网络管理</w:t>
      </w:r>
      <w:r w:rsidDel="00000000" w:rsidR="00000000" w:rsidRPr="00000000">
        <w:rPr>
          <w:rFonts w:ascii="Google Sans" w:cs="Google Sans" w:eastAsia="Google Sans" w:hAnsi="Google Sans"/>
          <w:color w:val="1f1f1f"/>
          <w:rtl w:val="0"/>
        </w:rPr>
        <w:t xml:space="preserve">及</w:t>
      </w:r>
      <w:r w:rsidDel="00000000" w:rsidR="00000000" w:rsidRPr="00000000">
        <w:rPr>
          <w:rFonts w:ascii="Google Sans" w:cs="Google Sans" w:eastAsia="Google Sans" w:hAnsi="Google Sans"/>
          <w:b w:val="1"/>
          <w:bCs w:val="1"/>
          <w:color w:val="1f1f1f"/>
          <w:rtl w:val="0"/>
        </w:rPr>
        <w:t xml:space="preserve">确定性故障恢复</w:t>
      </w:r>
      <w:r w:rsidDel="00000000" w:rsidR="00000000" w:rsidRPr="00000000">
        <w:rPr>
          <w:rFonts w:ascii="Google Sans" w:cs="Google Sans" w:eastAsia="Google Sans" w:hAnsi="Google Sans"/>
          <w:color w:val="1f1f1f"/>
          <w:rtl w:val="0"/>
        </w:rPr>
        <w:t xml:space="preserve">存在显著的场景和方法论差异。</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为了进行公平且具有说服力的“苹果对苹果（Apples-to-Apples）”对比，我们需要寻找在</w:t>
      </w:r>
      <w:r w:rsidDel="00000000" w:rsidR="00000000" w:rsidRPr="00000000">
        <w:rPr>
          <w:rFonts w:ascii="Google Sans" w:cs="Google Sans" w:eastAsia="Google Sans" w:hAnsi="Google Sans"/>
          <w:b w:val="1"/>
          <w:bCs w:val="1"/>
          <w:color w:val="1f1f1f"/>
          <w:rtl w:val="0"/>
        </w:rPr>
        <w:t xml:space="preserve">网络拓扑</w:t>
      </w:r>
      <w:r w:rsidDel="00000000" w:rsidR="00000000" w:rsidRPr="00000000">
        <w:rPr>
          <w:rFonts w:ascii="Google Sans" w:cs="Google Sans" w:eastAsia="Google Sans" w:hAnsi="Google Sans"/>
          <w:color w:val="1f1f1f"/>
          <w:rtl w:val="0"/>
        </w:rPr>
        <w:t xml:space="preserve">（分簇结构）、</w:t>
      </w:r>
      <w:r w:rsidDel="00000000" w:rsidR="00000000" w:rsidRPr="00000000">
        <w:rPr>
          <w:rFonts w:ascii="Google Sans" w:cs="Google Sans" w:eastAsia="Google Sans" w:hAnsi="Google Sans"/>
          <w:b w:val="1"/>
          <w:bCs w:val="1"/>
          <w:color w:val="1f1f1f"/>
          <w:rtl w:val="0"/>
        </w:rPr>
        <w:t xml:space="preserve">密码学原语</w:t>
      </w:r>
      <w:r w:rsidDel="00000000" w:rsidR="00000000" w:rsidRPr="00000000">
        <w:rPr>
          <w:rFonts w:ascii="Google Sans" w:cs="Google Sans" w:eastAsia="Google Sans" w:hAnsi="Google Sans"/>
          <w:color w:val="1f1f1f"/>
          <w:rtl w:val="0"/>
        </w:rPr>
        <w:t xml:space="preserve">（聚合签名/签密）、</w:t>
      </w:r>
      <w:r w:rsidDel="00000000" w:rsidR="00000000" w:rsidRPr="00000000">
        <w:rPr>
          <w:rFonts w:ascii="Google Sans" w:cs="Google Sans" w:eastAsia="Google Sans" w:hAnsi="Google Sans"/>
          <w:b w:val="1"/>
          <w:bCs w:val="1"/>
          <w:color w:val="1f1f1f"/>
          <w:rtl w:val="0"/>
        </w:rPr>
        <w:t xml:space="preserve">信任模型</w:t>
      </w:r>
      <w:r w:rsidDel="00000000" w:rsidR="00000000" w:rsidRPr="00000000">
        <w:rPr>
          <w:rFonts w:ascii="Google Sans" w:cs="Google Sans" w:eastAsia="Google Sans" w:hAnsi="Google Sans"/>
          <w:color w:val="1f1f1f"/>
          <w:rtl w:val="0"/>
        </w:rPr>
        <w:t xml:space="preserve">（无证书/基于身份/基于证书）以及</w:t>
      </w:r>
      <w:r w:rsidDel="00000000" w:rsidR="00000000" w:rsidRPr="00000000">
        <w:rPr>
          <w:rFonts w:ascii="Google Sans" w:cs="Google Sans" w:eastAsia="Google Sans" w:hAnsi="Google Sans"/>
          <w:b w:val="1"/>
          <w:bCs w:val="1"/>
          <w:color w:val="1f1f1f"/>
          <w:rtl w:val="0"/>
        </w:rPr>
        <w:t xml:space="preserve">功能特性</w:t>
      </w:r>
      <w:r w:rsidDel="00000000" w:rsidR="00000000" w:rsidRPr="00000000">
        <w:rPr>
          <w:rFonts w:ascii="Google Sans" w:cs="Google Sans" w:eastAsia="Google Sans" w:hAnsi="Google Sans"/>
          <w:color w:val="1f1f1f"/>
          <w:rtl w:val="0"/>
        </w:rPr>
        <w:t xml:space="preserve">（批量验证、区块链辅助）上具有高度重合度或互补性的文献。</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本报告将基于提供的研究片段，深入剖析四类最具对比价值的文献，并构建详细的计算与通信开销评估模型，以指导阁下的实验设计。</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理论框架与系统模型解析</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在深入对比具体文献之前，必须首先明确阁下方案的核心系统模型与现有的主流模型之间的映射关系。这将帮助我们从海量文献中筛选出真正的“竞争对手”。</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网络拓扑模型的同构性分析</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阁下的方案采用了典型的分簇结构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，包含以下实体：</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地面控制站（GCS）：</w:t>
      </w:r>
      <w:r w:rsidDel="00000000" w:rsidR="00000000" w:rsidRPr="00000000">
        <w:rPr>
          <w:rFonts w:ascii="Google Sans" w:cs="Google Sans" w:eastAsia="Google Sans" w:hAnsi="Google Sans"/>
          <w:color w:val="1f1f1f"/>
          <w:rtl w:val="0"/>
        </w:rPr>
        <w:t xml:space="preserve"> 负责系统初始化与注册，但不要求实时在线。</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区块链（Blockchain）：</w:t>
      </w:r>
      <w:r w:rsidDel="00000000" w:rsidR="00000000" w:rsidRPr="00000000">
        <w:rPr>
          <w:rFonts w:ascii="Google Sans" w:cs="Google Sans" w:eastAsia="Google Sans" w:hAnsi="Google Sans"/>
          <w:color w:val="1f1f1f"/>
          <w:rtl w:val="0"/>
        </w:rPr>
        <w:t xml:space="preserve"> 存储公钥与参数，提供去中心化信任。</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簇头（Cluster Head, CH）：</w:t>
      </w:r>
      <w:r w:rsidDel="00000000" w:rsidR="00000000" w:rsidRPr="00000000">
        <w:rPr>
          <w:rFonts w:ascii="Google Sans" w:cs="Google Sans" w:eastAsia="Google Sans" w:hAnsi="Google Sans"/>
          <w:color w:val="1f1f1f"/>
          <w:rtl w:val="0"/>
        </w:rPr>
        <w:t xml:space="preserve"> 资源相对丰富，负责广播（IBBE）与聚合验证（CLAS）。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簇成员（Cluster Member, CM）：</w:t>
      </w:r>
      <w:r w:rsidDel="00000000" w:rsidR="00000000" w:rsidRPr="00000000">
        <w:rPr>
          <w:rFonts w:ascii="Google Sans" w:cs="Google Sans" w:eastAsia="Google Sans" w:hAnsi="Google Sans"/>
          <w:color w:val="1f1f1f"/>
          <w:rtl w:val="0"/>
        </w:rPr>
        <w:t xml:space="preserve"> 资源受限，负责响应与签名。</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深度洞察：</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这种模型要求对比的文献必须具备“聚合器（Aggregator）”或“网关（Gateway）”角色。如果是纯粹的点对点（P2P）或扁平化（Flat）网络方案（如某些FANET路由协议），其认证复杂度通常为 </w:t>
      </w:r>
      <w:r w:rsidDel="00000000" w:rsidR="00000000" w:rsidRPr="00000000">
        <w:rPr>
          <w:rFonts w:ascii="Google Sans" w:cs="Google Sans" w:eastAsia="Google Sans" w:hAnsi="Google Sans"/>
          <w:color w:val="1f1f1f"/>
        </w:rPr>
        <w:drawing>
          <wp:inline distB="19050" distT="19050" distL="19050" distR="19050">
            <wp:extent cx="531167" cy="227643"/>
            <wp:effectExtent b="0" l="0" r="0" t="0"/>
            <wp:docPr id="1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31167" cy="22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color w:val="1f1f1f"/>
        </w:rPr>
        <w:drawing>
          <wp:inline distB="19050" distT="19050" distL="19050" distR="19050">
            <wp:extent cx="457423" cy="228711"/>
            <wp:effectExtent b="0" l="0" r="0" t="0"/>
            <wp:docPr id="2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57423" cy="228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，而分簇结构的聚合验证目标是将簇头的验证开销降低至 </w:t>
      </w:r>
      <w:r w:rsidDel="00000000" w:rsidR="00000000" w:rsidRPr="00000000">
        <w:rPr>
          <w:rFonts w:ascii="Google Sans" w:cs="Google Sans" w:eastAsia="Google Sans" w:hAnsi="Google Sans"/>
          <w:color w:val="1f1f1f"/>
        </w:rPr>
        <w:drawing>
          <wp:inline distB="19050" distT="19050" distL="19050" distR="19050">
            <wp:extent cx="333970" cy="209924"/>
            <wp:effectExtent b="0" l="0" r="0" t="0"/>
            <wp:docPr id="2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33970" cy="209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（指双线性对运算次数）。因此，我们筛选的对比文献必须支持**多对一（Many-to-One）**的流量模式。</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密码学原语的演进路径</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无人机认证方案经历了从传统PKI到基于身份（IBC），再到无证书（CLC）的演进。阁下的方案处于**无证书密码体制（Certificateless Cryptography, CLC）**这一前沿阶段，旨在解决证书管理的带宽消耗问题（PKI的弊端）和密钥托管问题（IBC的弊端）。</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PKI/CBS（基于证书）：</w:t>
      </w:r>
      <w:r w:rsidDel="00000000" w:rsidR="00000000" w:rsidRPr="00000000">
        <w:rPr>
          <w:rFonts w:ascii="Google Sans" w:cs="Google Sans" w:eastAsia="Google Sans" w:hAnsi="Google Sans"/>
          <w:color w:val="1f1f1f"/>
          <w:rtl w:val="0"/>
        </w:rPr>
        <w:t xml:space="preserve"> 需要传输和验证证书，通信开销大。代表文献：Ali et al.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IBC（基于身份）：</w:t>
      </w:r>
      <w:r w:rsidDel="00000000" w:rsidR="00000000" w:rsidRPr="00000000">
        <w:rPr>
          <w:rFonts w:ascii="Google Sans" w:cs="Google Sans" w:eastAsia="Google Sans" w:hAnsi="Google Sans"/>
          <w:color w:val="1f1f1f"/>
          <w:rtl w:val="0"/>
        </w:rPr>
        <w:t xml:space="preserve"> 无需证书，但KGC掌握用户私钥（密钥托管）。代表文献：Liu et al.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CLC（无证书）：</w:t>
      </w:r>
      <w:r w:rsidDel="00000000" w:rsidR="00000000" w:rsidRPr="00000000">
        <w:rPr>
          <w:rFonts w:ascii="Google Sans" w:cs="Google Sans" w:eastAsia="Google Sans" w:hAnsi="Google Sans"/>
          <w:color w:val="1f1f1f"/>
          <w:rtl w:val="0"/>
        </w:rPr>
        <w:t xml:space="preserve"> 结合两者优点。代表文献：Da et al.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、Tian et al.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实验对比策略：</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阁下的实验应重点展示：</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相比于 </w:t>
      </w:r>
      <w:r w:rsidDel="00000000" w:rsidR="00000000" w:rsidRPr="00000000">
        <w:rPr>
          <w:rFonts w:ascii="Google Sans" w:cs="Google Sans" w:eastAsia="Google Sans" w:hAnsi="Google Sans"/>
          <w:b w:val="1"/>
          <w:bCs w:val="1"/>
          <w:color w:val="1f1f1f"/>
          <w:rtl w:val="0"/>
        </w:rPr>
        <w:t xml:space="preserve">PKI/CBS</w:t>
      </w:r>
      <w:r w:rsidDel="00000000" w:rsidR="00000000" w:rsidRPr="00000000">
        <w:rPr>
          <w:rFonts w:ascii="Google Sans" w:cs="Google Sans" w:eastAsia="Google Sans" w:hAnsi="Google Sans"/>
          <w:color w:val="1f1f1f"/>
          <w:rtl w:val="0"/>
        </w:rPr>
        <w:t xml:space="preserve"> 方案，您的方案节省了传输证书的</w:t>
      </w:r>
      <w:r w:rsidDel="00000000" w:rsidR="00000000" w:rsidRPr="00000000">
        <w:rPr>
          <w:rFonts w:ascii="Google Sans" w:cs="Google Sans" w:eastAsia="Google Sans" w:hAnsi="Google Sans"/>
          <w:b w:val="1"/>
          <w:bCs w:val="1"/>
          <w:color w:val="1f1f1f"/>
          <w:rtl w:val="0"/>
        </w:rPr>
        <w:t xml:space="preserve">通信带宽</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相比于 </w:t>
      </w:r>
      <w:r w:rsidDel="00000000" w:rsidR="00000000" w:rsidRPr="00000000">
        <w:rPr>
          <w:rFonts w:ascii="Google Sans" w:cs="Google Sans" w:eastAsia="Google Sans" w:hAnsi="Google Sans"/>
          <w:b w:val="1"/>
          <w:bCs w:val="1"/>
          <w:color w:val="1f1f1f"/>
          <w:rtl w:val="0"/>
        </w:rPr>
        <w:t xml:space="preserve">IBC</w:t>
      </w:r>
      <w:r w:rsidDel="00000000" w:rsidR="00000000" w:rsidRPr="00000000">
        <w:rPr>
          <w:rFonts w:ascii="Google Sans" w:cs="Google Sans" w:eastAsia="Google Sans" w:hAnsi="Google Sans"/>
          <w:color w:val="1f1f1f"/>
          <w:rtl w:val="0"/>
        </w:rPr>
        <w:t xml:space="preserve"> 方案，您的方案在保持相似计算效率的同时，解决了</w:t>
      </w:r>
      <w:r w:rsidDel="00000000" w:rsidR="00000000" w:rsidRPr="00000000">
        <w:rPr>
          <w:rFonts w:ascii="Google Sans" w:cs="Google Sans" w:eastAsia="Google Sans" w:hAnsi="Google Sans"/>
          <w:b w:val="1"/>
          <w:bCs w:val="1"/>
          <w:color w:val="1f1f1f"/>
          <w:rtl w:val="0"/>
        </w:rPr>
        <w:t xml:space="preserve">密钥托管</w:t>
      </w:r>
      <w:r w:rsidDel="00000000" w:rsidR="00000000" w:rsidRPr="00000000">
        <w:rPr>
          <w:rFonts w:ascii="Google Sans" w:cs="Google Sans" w:eastAsia="Google Sans" w:hAnsi="Google Sans"/>
          <w:color w:val="1f1f1f"/>
          <w:rtl w:val="0"/>
        </w:rPr>
        <w:t xml:space="preserve">的安全隐患（需在安全性分析中强调，在性能对比中展示效率并未因此大幅下降）。</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相比于 </w:t>
      </w:r>
      <w:r w:rsidDel="00000000" w:rsidR="00000000" w:rsidRPr="00000000">
        <w:rPr>
          <w:rFonts w:ascii="Google Sans" w:cs="Google Sans" w:eastAsia="Google Sans" w:hAnsi="Google Sans"/>
          <w:b w:val="1"/>
          <w:bCs w:val="1"/>
          <w:color w:val="1f1f1f"/>
          <w:rtl w:val="0"/>
        </w:rPr>
        <w:t xml:space="preserve">同类CLC</w:t>
      </w:r>
      <w:r w:rsidDel="00000000" w:rsidR="00000000" w:rsidRPr="00000000">
        <w:rPr>
          <w:rFonts w:ascii="Google Sans" w:cs="Google Sans" w:eastAsia="Google Sans" w:hAnsi="Google Sans"/>
          <w:color w:val="1f1f1f"/>
          <w:rtl w:val="0"/>
        </w:rPr>
        <w:t xml:space="preserve"> 方案，您的方案通过</w:t>
      </w:r>
      <w:r w:rsidDel="00000000" w:rsidR="00000000" w:rsidRPr="00000000">
        <w:rPr>
          <w:rFonts w:ascii="Google Sans" w:cs="Google Sans" w:eastAsia="Google Sans" w:hAnsi="Google Sans"/>
          <w:b w:val="1"/>
          <w:bCs w:val="1"/>
          <w:color w:val="1f1f1f"/>
          <w:rtl w:val="0"/>
        </w:rPr>
        <w:t xml:space="preserve">IBBE</w:t>
      </w:r>
      <w:r w:rsidDel="00000000" w:rsidR="00000000" w:rsidRPr="00000000">
        <w:rPr>
          <w:rFonts w:ascii="Google Sans" w:cs="Google Sans" w:eastAsia="Google Sans" w:hAnsi="Google Sans"/>
          <w:color w:val="1f1f1f"/>
          <w:rtl w:val="0"/>
        </w:rPr>
        <w:t xml:space="preserve">优化了下行链路的密钥分发效率。</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核心对比文献深度剖析</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基于上述分析，我们从提供的资料中筛选出以下四篇核心文献作为最佳对比对象。这些文献在应用场景、拓扑结构或技术路线上与您的初稿高度相关。</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对比文献一：Liu et al. "An Aggregate Authentication Framework for UAV Cluster Network" (2020)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匹配度：⭐⭐⭐⭐⭐ (拓扑结构完美匹配)</w:t>
      </w:r>
    </w:p>
    <w:p w:rsidR="00000000" w:rsidDel="00000000" w:rsidP="00000000" w:rsidRDefault="00000000" w:rsidRPr="00000000" w14:paraId="0000002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文献来源：</w:t>
      </w:r>
      <w:r w:rsidDel="00000000" w:rsidR="00000000" w:rsidRPr="00000000">
        <w:rPr>
          <w:rFonts w:ascii="Google Sans" w:cs="Google Sans" w:eastAsia="Google Sans" w:hAnsi="Google Sans"/>
          <w:color w:val="1f1f1f"/>
          <w:rtl w:val="0"/>
        </w:rPr>
        <w:t xml:space="preserve"> IEEE相关会议/期刊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应用场景：</w:t>
      </w:r>
      <w:r w:rsidDel="00000000" w:rsidR="00000000" w:rsidRPr="00000000">
        <w:rPr>
          <w:rFonts w:ascii="Google Sans" w:cs="Google Sans" w:eastAsia="Google Sans" w:hAnsi="Google Sans"/>
          <w:color w:val="1f1f1f"/>
          <w:rtl w:val="0"/>
        </w:rPr>
        <w:t xml:space="preserve"> 无人机集群网络（UAV Cluster Network, UAVCN）。</w:t>
      </w:r>
    </w:p>
    <w:p w:rsidR="00000000" w:rsidDel="00000000" w:rsidP="00000000" w:rsidRDefault="00000000" w:rsidRPr="00000000" w14:paraId="0000002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系统实体：</w:t>
      </w:r>
    </w:p>
    <w:p w:rsidR="00000000" w:rsidDel="00000000" w:rsidP="00000000" w:rsidRDefault="00000000" w:rsidRPr="00000000" w14:paraId="00000026">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控制中心（COC）：</w:t>
      </w:r>
      <w:r w:rsidDel="00000000" w:rsidR="00000000" w:rsidRPr="00000000">
        <w:rPr>
          <w:rFonts w:ascii="Google Sans" w:cs="Google Sans" w:eastAsia="Google Sans" w:hAnsi="Google Sans"/>
          <w:color w:val="1f1f1f"/>
          <w:rtl w:val="0"/>
        </w:rPr>
        <w:t xml:space="preserve"> 对应您的 GCS。</w:t>
      </w:r>
    </w:p>
    <w:p w:rsidR="00000000" w:rsidDel="00000000" w:rsidP="00000000" w:rsidRDefault="00000000" w:rsidRPr="00000000" w14:paraId="0000002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聚合器（Aggregator, AGE）：</w:t>
      </w:r>
      <w:r w:rsidDel="00000000" w:rsidR="00000000" w:rsidRPr="00000000">
        <w:rPr>
          <w:rFonts w:ascii="Google Sans" w:cs="Google Sans" w:eastAsia="Google Sans" w:hAnsi="Google Sans"/>
          <w:color w:val="1f1f1f"/>
          <w:rtl w:val="0"/>
        </w:rPr>
        <w:t xml:space="preserve"> 对应您的 簇头（CH）。</w:t>
      </w:r>
    </w:p>
    <w:p w:rsidR="00000000" w:rsidDel="00000000" w:rsidP="00000000" w:rsidRDefault="00000000" w:rsidRPr="00000000" w14:paraId="0000002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侦察无人机（RAV）：</w:t>
      </w:r>
      <w:r w:rsidDel="00000000" w:rsidR="00000000" w:rsidRPr="00000000">
        <w:rPr>
          <w:rFonts w:ascii="Google Sans" w:cs="Google Sans" w:eastAsia="Google Sans" w:hAnsi="Google Sans"/>
          <w:color w:val="1f1f1f"/>
          <w:rtl w:val="0"/>
        </w:rPr>
        <w:t xml:space="preserve"> 对应您的 簇成员（CM）。</w:t>
      </w:r>
    </w:p>
    <w:p w:rsidR="00000000" w:rsidDel="00000000" w:rsidP="00000000" w:rsidRDefault="00000000" w:rsidRPr="00000000" w14:paraId="0000002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核心机制：</w:t>
      </w:r>
    </w:p>
    <w:p w:rsidR="00000000" w:rsidDel="00000000" w:rsidP="00000000" w:rsidRDefault="00000000" w:rsidRPr="00000000" w14:paraId="0000002A">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采用 </w:t>
      </w:r>
      <w:r w:rsidDel="00000000" w:rsidR="00000000" w:rsidRPr="00000000">
        <w:rPr>
          <w:rFonts w:ascii="Google Sans" w:cs="Google Sans" w:eastAsia="Google Sans" w:hAnsi="Google Sans"/>
          <w:b w:val="1"/>
          <w:bCs w:val="1"/>
          <w:color w:val="1f1f1f"/>
          <w:rtl w:val="0"/>
        </w:rPr>
        <w:t xml:space="preserve">基于身份的聚合签名（Identity-Based Aggregate Signature, IBAS）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AGE 验证来自 COC 的请求，转发给 RAV。</w:t>
      </w:r>
    </w:p>
    <w:p w:rsidR="00000000" w:rsidDel="00000000" w:rsidP="00000000" w:rsidRDefault="00000000" w:rsidRPr="00000000" w14:paraId="0000002C">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RAV 返回签名，AGE 进行聚合，最后由 COC 进行批量验证。</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深度对比分析（用于实验）：</w:t>
      </w:r>
    </w:p>
    <w:p w:rsidR="00000000" w:rsidDel="00000000" w:rsidP="00000000" w:rsidRDefault="00000000" w:rsidRPr="00000000" w14:paraId="0000002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计算开销：</w:t>
      </w:r>
      <w:r w:rsidDel="00000000" w:rsidR="00000000" w:rsidRPr="00000000">
        <w:rPr>
          <w:rFonts w:ascii="Google Sans" w:cs="Google Sans" w:eastAsia="Google Sans" w:hAnsi="Google Sans"/>
          <w:color w:val="1f1f1f"/>
          <w:rtl w:val="0"/>
        </w:rPr>
        <w:t xml:space="preserve"> Liu 的方案是基于身份的（IBC）。由于 IBC 通常涉及复杂的 Map-to-Point 哈希运算及双线性对，您可以对比您的 CLAS 方案在签名生成和聚合验证阶段的耗时。尽管两者都利用了聚合技术，但无证书机制（您的方案）引入了部分私钥生成步骤，通常计算量略高或持平。如果您的方案通过预计算或特定的曲线优化（如无对运算阶段）实现了更低的开销，这将是巨大的亮点。</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通信开销：</w:t>
      </w:r>
      <w:r w:rsidDel="00000000" w:rsidR="00000000" w:rsidRPr="00000000">
        <w:rPr>
          <w:rFonts w:ascii="Google Sans" w:cs="Google Sans" w:eastAsia="Google Sans" w:hAnsi="Google Sans"/>
          <w:color w:val="1f1f1f"/>
          <w:rtl w:val="0"/>
        </w:rPr>
        <w:t xml:space="preserve"> Liu 的方案不需要传输证书，这与您的 CLAS 类似。但是，您引入了 IBBE 用于下行广播。您可以对比“分发密钥”阶段的开销：Liu 的方案可能需要单独协商，而您通过 IBBE 一次广播即可完成，这在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较大时优势显著。</w:t>
      </w:r>
    </w:p>
    <w:p w:rsidR="00000000" w:rsidDel="00000000" w:rsidP="00000000" w:rsidRDefault="00000000" w:rsidRPr="00000000" w14:paraId="0000003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安全性：</w:t>
      </w:r>
      <w:r w:rsidDel="00000000" w:rsidR="00000000" w:rsidRPr="00000000">
        <w:rPr>
          <w:rFonts w:ascii="Google Sans" w:cs="Google Sans" w:eastAsia="Google Sans" w:hAnsi="Google Sans"/>
          <w:color w:val="1f1f1f"/>
          <w:rtl w:val="0"/>
        </w:rPr>
        <w:t xml:space="preserve"> Liu 的方案存在</w:t>
      </w:r>
      <w:r w:rsidDel="00000000" w:rsidR="00000000" w:rsidRPr="00000000">
        <w:rPr>
          <w:rFonts w:ascii="Google Sans" w:cs="Google Sans" w:eastAsia="Google Sans" w:hAnsi="Google Sans"/>
          <w:b w:val="1"/>
          <w:bCs w:val="1"/>
          <w:color w:val="1f1f1f"/>
          <w:rtl w:val="0"/>
        </w:rPr>
        <w:t xml:space="preserve">密钥托管问题</w:t>
      </w:r>
      <w:r w:rsidDel="00000000" w:rsidR="00000000" w:rsidRPr="00000000">
        <w:rPr>
          <w:rFonts w:ascii="Google Sans" w:cs="Google Sans" w:eastAsia="Google Sans" w:hAnsi="Google Sans"/>
          <w:color w:val="1f1f1f"/>
          <w:rtl w:val="0"/>
        </w:rPr>
        <w:t xml:space="preserve">（KGC 知道所有 RAV 的私钥）。您的方案是无证书的，解决了这一问题。这是您在“安全性对比表”中的核心优势，而在“性能对比图”中，您可以展示为了获得这种安全性，您付出的计算代价是非常微小的，甚至是负的（即更高效）。</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对比文献二：Da et al. "An Efficient Certificateless Signcryption Scheme for Secure Communication in UAV Cluster Network" (2021)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匹配度：⭐⭐⭐⭐⭐ (技术路线与拓扑双重匹配)</w:t>
      </w:r>
    </w:p>
    <w:p w:rsidR="00000000" w:rsidDel="00000000" w:rsidP="00000000" w:rsidRDefault="00000000" w:rsidRPr="00000000" w14:paraId="0000003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文献来源：</w:t>
      </w:r>
      <w:r w:rsidDel="00000000" w:rsidR="00000000" w:rsidRPr="00000000">
        <w:rPr>
          <w:rFonts w:ascii="Google Sans" w:cs="Google Sans" w:eastAsia="Google Sans" w:hAnsi="Google Sans"/>
          <w:color w:val="1f1f1f"/>
          <w:rtl w:val="0"/>
        </w:rPr>
        <w:t xml:space="preserve"> IEEE ISPA/BDCloud 2021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应用场景：</w:t>
      </w:r>
      <w:r w:rsidDel="00000000" w:rsidR="00000000" w:rsidRPr="00000000">
        <w:rPr>
          <w:rFonts w:ascii="Google Sans" w:cs="Google Sans" w:eastAsia="Google Sans" w:hAnsi="Google Sans"/>
          <w:color w:val="1f1f1f"/>
          <w:rtl w:val="0"/>
        </w:rPr>
        <w:t xml:space="preserve"> 无人机集群数据采集。</w:t>
      </w:r>
    </w:p>
    <w:p w:rsidR="00000000" w:rsidDel="00000000" w:rsidP="00000000" w:rsidRDefault="00000000" w:rsidRPr="00000000" w14:paraId="0000003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系统实体：</w:t>
      </w:r>
    </w:p>
    <w:p w:rsidR="00000000" w:rsidDel="00000000" w:rsidP="00000000" w:rsidRDefault="00000000" w:rsidRPr="00000000" w14:paraId="0000003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聚合无人机（AGV）：</w:t>
      </w:r>
      <w:r w:rsidDel="00000000" w:rsidR="00000000" w:rsidRPr="00000000">
        <w:rPr>
          <w:rFonts w:ascii="Google Sans" w:cs="Google Sans" w:eastAsia="Google Sans" w:hAnsi="Google Sans"/>
          <w:color w:val="1f1f1f"/>
          <w:rtl w:val="0"/>
        </w:rPr>
        <w:t xml:space="preserve"> 对应您的 簇头（CH）。</w:t>
      </w:r>
    </w:p>
    <w:p w:rsidR="00000000" w:rsidDel="00000000" w:rsidP="00000000" w:rsidRDefault="00000000" w:rsidRPr="00000000" w14:paraId="00000038">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侦察无人机（RAV）：</w:t>
      </w:r>
      <w:r w:rsidDel="00000000" w:rsidR="00000000" w:rsidRPr="00000000">
        <w:rPr>
          <w:rFonts w:ascii="Google Sans" w:cs="Google Sans" w:eastAsia="Google Sans" w:hAnsi="Google Sans"/>
          <w:color w:val="1f1f1f"/>
          <w:rtl w:val="0"/>
        </w:rPr>
        <w:t xml:space="preserve"> 对应您的 簇成员（CM）。</w:t>
      </w:r>
    </w:p>
    <w:p w:rsidR="00000000" w:rsidDel="00000000" w:rsidP="00000000" w:rsidRDefault="00000000" w:rsidRPr="00000000" w14:paraId="0000003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核心机制：</w:t>
      </w:r>
    </w:p>
    <w:p w:rsidR="00000000" w:rsidDel="00000000" w:rsidP="00000000" w:rsidRDefault="00000000" w:rsidRPr="00000000" w14:paraId="0000003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无证书聚合签密（Certificateless Aggregate Signcryption, CL-ASC）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注意“签密（Signcryption）”与“签名（Signature）”的区别。签密同时实现了认证和加密。</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深度对比分析（用于实验）：</w:t>
      </w:r>
    </w:p>
    <w:p w:rsidR="00000000" w:rsidDel="00000000" w:rsidP="00000000" w:rsidRDefault="00000000" w:rsidRPr="00000000" w14:paraId="0000003D">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功能差异带来的性能对比：</w:t>
      </w:r>
      <w:r w:rsidDel="00000000" w:rsidR="00000000" w:rsidRPr="00000000">
        <w:rPr>
          <w:rFonts w:ascii="Google Sans" w:cs="Google Sans" w:eastAsia="Google Sans" w:hAnsi="Google Sans"/>
          <w:color w:val="1f1f1f"/>
          <w:rtl w:val="0"/>
        </w:rPr>
        <w:t xml:space="preserve"> 您的方案将认证（CLAS）与会话密钥分发（IBBE）解耦。Da 等人的方案使用签密，意味着数据在传输时即被加密。</w:t>
      </w:r>
    </w:p>
    <w:p w:rsidR="00000000" w:rsidDel="00000000" w:rsidP="00000000" w:rsidRDefault="00000000" w:rsidRPr="00000000" w14:paraId="0000003E">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计算开销：</w:t>
      </w:r>
      <w:r w:rsidDel="00000000" w:rsidR="00000000" w:rsidRPr="00000000">
        <w:rPr>
          <w:rFonts w:ascii="Google Sans" w:cs="Google Sans" w:eastAsia="Google Sans" w:hAnsi="Google Sans"/>
          <w:color w:val="1f1f1f"/>
          <w:rtl w:val="0"/>
        </w:rPr>
        <w:t xml:space="preserve"> 签密通常比单纯的聚合签名要重。如果您的场景首先是建立连接（认证+密钥协商），随后使用对称密钥加密数据，那么您的方案在“握手阶段”可能比签密更灵活且高效。您可以对比完成一次“认证+密钥建立”的总耗时。</w:t>
      </w:r>
    </w:p>
    <w:p w:rsidR="00000000" w:rsidDel="00000000" w:rsidP="00000000" w:rsidRDefault="00000000" w:rsidRPr="00000000" w14:paraId="0000003F">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通信开销：</w:t>
      </w:r>
      <w:r w:rsidDel="00000000" w:rsidR="00000000" w:rsidRPr="00000000">
        <w:rPr>
          <w:rFonts w:ascii="Google Sans" w:cs="Google Sans" w:eastAsia="Google Sans" w:hAnsi="Google Sans"/>
          <w:color w:val="1f1f1f"/>
          <w:rtl w:val="0"/>
        </w:rPr>
        <w:t xml:space="preserve"> 签密生成的密文通常比单纯的签名要大。您可以对比 AGV（簇头）发送给 GCS 或处理的数据包大小。</w:t>
      </w:r>
    </w:p>
    <w:p w:rsidR="00000000" w:rsidDel="00000000" w:rsidP="00000000" w:rsidRDefault="00000000" w:rsidRPr="00000000" w14:paraId="0000004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区块链缺失：</w:t>
      </w:r>
      <w:r w:rsidDel="00000000" w:rsidR="00000000" w:rsidRPr="00000000">
        <w:rPr>
          <w:rFonts w:ascii="Google Sans" w:cs="Google Sans" w:eastAsia="Google Sans" w:hAnsi="Google Sans"/>
          <w:color w:val="1f1f1f"/>
          <w:rtl w:val="0"/>
        </w:rPr>
        <w:t xml:space="preserve"> Da 等人的 2021 年方案未明确结合区块链（虽然同一作者后续有区块链相关工作）。您可以强调您的方案利用区块链实现了去中心化的公钥管理，而 Da 的方案可能仍依赖在线 KGC 或本地缓存，鲁棒性较差。</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对比文献三：Tian et al. "HCCAS: A hierarchical consensus-based certificateless aggregate signcryption scheme" (2025)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匹配度：⭐⭐⭐⭐ (最新区块链结合方案)</w:t>
      </w:r>
    </w:p>
    <w:p w:rsidR="00000000" w:rsidDel="00000000" w:rsidP="00000000" w:rsidRDefault="00000000" w:rsidRPr="00000000" w14:paraId="00000044">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文献来源：</w:t>
      </w:r>
      <w:r w:rsidDel="00000000" w:rsidR="00000000" w:rsidRPr="00000000">
        <w:rPr>
          <w:rFonts w:ascii="Google Sans" w:cs="Google Sans" w:eastAsia="Google Sans" w:hAnsi="Google Sans"/>
          <w:color w:val="1f1f1f"/>
          <w:rtl w:val="0"/>
        </w:rPr>
        <w:t xml:space="preserve"> Journal of Information Security and Applications (2025)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应用场景：</w:t>
      </w:r>
      <w:r w:rsidDel="00000000" w:rsidR="00000000" w:rsidRPr="00000000">
        <w:rPr>
          <w:rFonts w:ascii="Google Sans" w:cs="Google Sans" w:eastAsia="Google Sans" w:hAnsi="Google Sans"/>
          <w:color w:val="1f1f1f"/>
          <w:rtl w:val="0"/>
        </w:rPr>
        <w:t xml:space="preserve"> 无人机网络数据采集与区块链存储。</w:t>
      </w:r>
    </w:p>
    <w:p w:rsidR="00000000" w:rsidDel="00000000" w:rsidP="00000000" w:rsidRDefault="00000000" w:rsidRPr="00000000" w14:paraId="0000004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核心机制：</w:t>
      </w:r>
    </w:p>
    <w:p w:rsidR="00000000" w:rsidDel="00000000" w:rsidP="00000000" w:rsidRDefault="00000000" w:rsidRPr="00000000" w14:paraId="00000047">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分层共识（Hierarchical Consensus）。</w:t>
      </w:r>
    </w:p>
    <w:p w:rsidR="00000000" w:rsidDel="00000000" w:rsidP="00000000" w:rsidRDefault="00000000" w:rsidRPr="00000000" w14:paraId="0000004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无证书聚合签密（CL-ASC）。</w:t>
      </w:r>
    </w:p>
    <w:p w:rsidR="00000000" w:rsidDel="00000000" w:rsidP="00000000" w:rsidRDefault="00000000" w:rsidRPr="00000000" w14:paraId="00000049">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区块链集成：</w:t>
      </w:r>
      <w:r w:rsidDel="00000000" w:rsidR="00000000" w:rsidRPr="00000000">
        <w:rPr>
          <w:rFonts w:ascii="Google Sans" w:cs="Google Sans" w:eastAsia="Google Sans" w:hAnsi="Google Sans"/>
          <w:color w:val="1f1f1f"/>
          <w:rtl w:val="0"/>
        </w:rPr>
        <w:t xml:space="preserve"> 明确利用区块链存储公钥信息和聚合报告。</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深度对比分析（用于实验）：</w:t>
      </w:r>
    </w:p>
    <w:p w:rsidR="00000000" w:rsidDel="00000000" w:rsidP="00000000" w:rsidRDefault="00000000" w:rsidRPr="00000000" w14:paraId="0000004B">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区块链交互开销：</w:t>
      </w:r>
      <w:r w:rsidDel="00000000" w:rsidR="00000000" w:rsidRPr="00000000">
        <w:rPr>
          <w:rFonts w:ascii="Google Sans" w:cs="Google Sans" w:eastAsia="Google Sans" w:hAnsi="Google Sans"/>
          <w:color w:val="1f1f1f"/>
          <w:rtl w:val="0"/>
        </w:rPr>
        <w:t xml:space="preserve"> 这是与您的方案最接近的“现代”对手。Tian 的方案将聚合数据上链。您的方案主要是公钥/参数上链。您可以对比</w:t>
      </w:r>
      <w:r w:rsidDel="00000000" w:rsidR="00000000" w:rsidRPr="00000000">
        <w:rPr>
          <w:rFonts w:ascii="Google Sans" w:cs="Google Sans" w:eastAsia="Google Sans" w:hAnsi="Google Sans"/>
          <w:b w:val="1"/>
          <w:bCs w:val="1"/>
          <w:color w:val="1f1f1f"/>
          <w:rtl w:val="0"/>
        </w:rPr>
        <w:t xml:space="preserve">Gas消耗（Gas Cost）或区块链存储开销（On-chain Storage Overhead）</w:t>
      </w:r>
      <w:r w:rsidDel="00000000" w:rsidR="00000000" w:rsidRPr="00000000">
        <w:rPr>
          <w:rFonts w:ascii="Google Sans" w:cs="Google Sans" w:eastAsia="Google Sans" w:hAnsi="Google Sans"/>
          <w:color w:val="1f1f1f"/>
          <w:rtl w:val="0"/>
        </w:rPr>
        <w:t xml:space="preserve">。由于您仅存储注册信息和撤销列表，而数据传输在链下进行，您的方案在区块链层的开销应显著低于涉及数据共识的方案。</w:t>
      </w:r>
    </w:p>
    <w:p w:rsidR="00000000" w:rsidDel="00000000" w:rsidP="00000000" w:rsidRDefault="00000000" w:rsidRPr="00000000" w14:paraId="0000004C">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故障恢复：</w:t>
      </w:r>
      <w:r w:rsidDel="00000000" w:rsidR="00000000" w:rsidRPr="00000000">
        <w:rPr>
          <w:rFonts w:ascii="Google Sans" w:cs="Google Sans" w:eastAsia="Google Sans" w:hAnsi="Google Sans"/>
          <w:color w:val="1f1f1f"/>
          <w:rtl w:val="0"/>
        </w:rPr>
        <w:t xml:space="preserve"> Tian 的方案侧重于共识层的鲁棒性。您的方案提出了 RDCV 算法。您可以在仿真实验中设置一部分恶意节点，对比两种方案在</w:t>
      </w:r>
      <w:r w:rsidDel="00000000" w:rsidR="00000000" w:rsidRPr="00000000">
        <w:rPr>
          <w:rFonts w:ascii="Google Sans" w:cs="Google Sans" w:eastAsia="Google Sans" w:hAnsi="Google Sans"/>
          <w:b w:val="1"/>
          <w:bCs w:val="1"/>
          <w:color w:val="1f1f1f"/>
          <w:rtl w:val="0"/>
        </w:rPr>
        <w:t xml:space="preserve">恶意节点检测率</w:t>
      </w:r>
      <w:r w:rsidDel="00000000" w:rsidR="00000000" w:rsidRPr="00000000">
        <w:rPr>
          <w:rFonts w:ascii="Google Sans" w:cs="Google Sans" w:eastAsia="Google Sans" w:hAnsi="Google Sans"/>
          <w:color w:val="1f1f1f"/>
          <w:rtl w:val="0"/>
        </w:rPr>
        <w:t xml:space="preserve">和</w:t>
      </w:r>
      <w:r w:rsidDel="00000000" w:rsidR="00000000" w:rsidRPr="00000000">
        <w:rPr>
          <w:rFonts w:ascii="Google Sans" w:cs="Google Sans" w:eastAsia="Google Sans" w:hAnsi="Google Sans"/>
          <w:b w:val="1"/>
          <w:bCs w:val="1"/>
          <w:color w:val="1f1f1f"/>
          <w:rtl w:val="0"/>
        </w:rPr>
        <w:t xml:space="preserve">检测时延</w:t>
      </w:r>
      <w:r w:rsidDel="00000000" w:rsidR="00000000" w:rsidRPr="00000000">
        <w:rPr>
          <w:rFonts w:ascii="Google Sans" w:cs="Google Sans" w:eastAsia="Google Sans" w:hAnsi="Google Sans"/>
          <w:color w:val="1f1f1f"/>
          <w:rtl w:val="0"/>
        </w:rPr>
        <w:t xml:space="preserve">上的差异。</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对比文献四：Ali et al. "An Efficient Certificate-Based Aggregate Signature Scheme for Internet of Drones" (2022)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匹配度：⭐⭐⭐ (用于反衬无证书优势)</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文献来源：</w:t>
      </w:r>
      <w:r w:rsidDel="00000000" w:rsidR="00000000" w:rsidRPr="00000000">
        <w:rPr>
          <w:rFonts w:ascii="Google Sans" w:cs="Google Sans" w:eastAsia="Google Sans" w:hAnsi="Google Sans"/>
          <w:color w:val="1f1f1f"/>
          <w:rtl w:val="0"/>
        </w:rPr>
        <w:t xml:space="preserve"> Security and Communication Networks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核心机制：</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基于证书的聚合签名（Certificate-Based Aggregate Signature, CBS-AS）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使用 </w:t>
      </w:r>
      <w:r w:rsidDel="00000000" w:rsidR="00000000" w:rsidRPr="00000000">
        <w:rPr>
          <w:rFonts w:ascii="Google Sans" w:cs="Google Sans" w:eastAsia="Google Sans" w:hAnsi="Google Sans"/>
          <w:b w:val="1"/>
          <w:bCs w:val="1"/>
          <w:color w:val="1f1f1f"/>
          <w:rtl w:val="0"/>
        </w:rPr>
        <w:t xml:space="preserve">超椭圆曲线密码学（Hyperelliptic Curve Cryptography, HECC）</w:t>
      </w:r>
      <w:r w:rsidDel="00000000" w:rsidR="00000000" w:rsidRPr="00000000">
        <w:rPr>
          <w:rFonts w:ascii="Google Sans" w:cs="Google Sans" w:eastAsia="Google Sans" w:hAnsi="Google Sans"/>
          <w:color w:val="1f1f1f"/>
          <w:rtl w:val="0"/>
        </w:rPr>
        <w:t xml:space="preserve">，声称比 ECC 密钥更短（80 bits vs 160 bits）。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深度对比分析（用于实验）：</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通信开销的绝佳反例：</w:t>
      </w:r>
      <w:r w:rsidDel="00000000" w:rsidR="00000000" w:rsidRPr="00000000">
        <w:rPr>
          <w:rFonts w:ascii="Google Sans" w:cs="Google Sans" w:eastAsia="Google Sans" w:hAnsi="Google Sans"/>
          <w:color w:val="1f1f1f"/>
          <w:rtl w:val="0"/>
        </w:rPr>
        <w:t xml:space="preserve"> 尽管 HECC 的密钥很短，但 CBS 方案必须随签名发送**证书（Certificate）**以证明公钥的合法性。您的方案是无证书的，无需传输证书。</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实验设计：</w:t>
      </w:r>
      <w:r w:rsidDel="00000000" w:rsidR="00000000" w:rsidRPr="00000000">
        <w:rPr>
          <w:rFonts w:ascii="Google Sans" w:cs="Google Sans" w:eastAsia="Google Sans" w:hAnsi="Google Sans"/>
          <w:color w:val="1f1f1f"/>
          <w:rtl w:val="0"/>
        </w:rPr>
        <w:t xml:space="preserve"> 在通信开销对比图中，Ali 的方案将作为“基于证书”的代表。您可以展示：即使 HECC 算法本身很快，但加上证书传输的带宽消耗后，您的 CLAS 方案在总通信量上具有显著优势（通常证书大小为数 KB，而 CLAS 签名仅为百字节级）。这将有力地证明您选择 CLAS 路线的正确性。</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实验对比部分的具体实施建议</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为了在论文中呈现高质量的对比分析，建议按照以下维度构建实验部分。我们将直接引用上述文献作为 Benchmark。</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计算开销（Computational Overhead）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定义：</w:t>
      </w:r>
      <w:r w:rsidDel="00000000" w:rsidR="00000000" w:rsidRPr="00000000">
        <w:rPr>
          <w:rFonts w:ascii="Google Sans" w:cs="Google Sans" w:eastAsia="Google Sans" w:hAnsi="Google Sans"/>
          <w:color w:val="1f1f1f"/>
          <w:rtl w:val="0"/>
        </w:rPr>
        <w:t xml:space="preserve"> 完成一次完整的“簇头广播-成员响应-簇头聚合验证”流程所需的时间。</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公式模型：</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Pr>
        <w:drawing>
          <wp:inline distB="19050" distT="19050" distL="19050" distR="19050">
            <wp:extent cx="237307" cy="227815"/>
            <wp:effectExtent b="0" l="0" r="0" t="0"/>
            <wp:docPr id="2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37307" cy="2278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双线性对运算时间 (Bilinear Pairing)</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90810" cy="225143"/>
            <wp:effectExtent b="0" l="0" r="0" t="0"/>
            <wp:docPr id="2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290810" cy="225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标量乘法时间 (Scalar Multiplication, </w:t>
      </w:r>
      <w:r w:rsidDel="00000000" w:rsidR="00000000" w:rsidRPr="00000000">
        <w:rPr>
          <w:rFonts w:ascii="Google Sans" w:cs="Google Sans" w:eastAsia="Google Sans" w:hAnsi="Google Sans"/>
          <w:color w:val="1f1f1f"/>
        </w:rPr>
        <w:drawing>
          <wp:inline distB="19050" distT="19050" distL="19050" distR="19050">
            <wp:extent cx="218703" cy="228211"/>
            <wp:effectExtent b="0" l="0" r="0" t="0"/>
            <wp:docPr id="2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18703" cy="2282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50180" cy="230935"/>
            <wp:effectExtent b="0" l="0" r="0" t="0"/>
            <wp:docPr id="2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50180" cy="230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点加运算时间 (Point Addition)</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15962" cy="229791"/>
            <wp:effectExtent b="0" l="0" r="0" t="0"/>
            <wp:docPr id="2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15962"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模幂运算时间 (Exponentiation)</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91318" cy="229582"/>
            <wp:effectExtent b="0" l="0" r="0" t="0"/>
            <wp:docPr id="30"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91318" cy="229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哈希映射到点的时间 (Map-to-Point Hash)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对比策略：</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建议制作如下表格，列出各方案在**成员端（CM）</w:t>
      </w:r>
      <w:r w:rsidDel="00000000" w:rsidR="00000000" w:rsidRPr="00000000">
        <w:rPr>
          <w:rFonts w:ascii="Google Sans" w:cs="Google Sans" w:eastAsia="Google Sans" w:hAnsi="Google Sans"/>
          <w:b w:val="1"/>
          <w:bCs w:val="1"/>
          <w:color w:val="1f1f1f"/>
          <w:rtl w:val="0"/>
        </w:rPr>
        <w:t xml:space="preserve">和</w:t>
      </w:r>
      <w:r w:rsidDel="00000000" w:rsidR="00000000" w:rsidRPr="00000000">
        <w:rPr>
          <w:rFonts w:ascii="Google Sans" w:cs="Google Sans" w:eastAsia="Google Sans" w:hAnsi="Google Sans"/>
          <w:color w:val="1f1f1f"/>
          <w:rtl w:val="0"/>
        </w:rPr>
        <w:t xml:space="preserve">簇头端（CH）**的理论运算次数：</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认证类型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成员端 (签名/解密)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簇头端 (聚合/验证)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备注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Ours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 + IBBE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32024" cy="210397"/>
                  <wp:effectExtent b="0" l="0" r="0" t="0"/>
                  <wp:docPr id="2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832024" cy="21039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68054" cy="208796"/>
                  <wp:effectExtent b="0" l="0" r="0" t="0"/>
                  <wp:docPr id="2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968054" cy="20879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验证开销通过聚合保持恒定 (</w:t>
            </w:r>
            <w:r w:rsidDel="00000000" w:rsidR="00000000" w:rsidRPr="00000000">
              <w:rPr>
                <w:rFonts w:ascii="Google Sans" w:cs="Google Sans" w:eastAsia="Google Sans" w:hAnsi="Google Sans"/>
                <w:color w:val="1f1f1f"/>
                <w:shd w:fill="auto" w:val="clear"/>
              </w:rPr>
              <w:drawing>
                <wp:inline distB="19050" distT="19050" distL="19050" distR="19050">
                  <wp:extent cx="333970" cy="209924"/>
                  <wp:effectExtent b="0" l="0" r="0" t="0"/>
                  <wp:docPr id="3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33970" cy="2099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Pairings)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Liu et al.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ID-Based 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35235" cy="210719"/>
                  <wp:effectExtent b="0" l="0" r="0" t="0"/>
                  <wp:docPr id="3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35235" cy="21071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68054" cy="208796"/>
                  <wp:effectExtent b="0" l="0" r="0" t="0"/>
                  <wp:docPr id="3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968054" cy="20879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与您相近，但有密钥托管问题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 et al.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CL-Signcryption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89545" cy="210430"/>
                  <wp:effectExtent b="0" l="0" r="0" t="0"/>
                  <wp:docPr id="3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889545" cy="21043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03621" cy="210282"/>
                  <wp:effectExtent b="0" l="0" r="0" t="0"/>
                  <wp:docPr id="3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003621" cy="21028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签密通常涉及更多运算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Ali et al.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Cert-Based (HECC)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Divisor 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Divisor Aggregation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运算快，但通信重</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实验洞察：</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重点强调您的方案在**批量验证（Batch Verification）**阶段，双线性对（</w:t>
      </w:r>
      <w:r w:rsidDel="00000000" w:rsidR="00000000" w:rsidRPr="00000000">
        <w:rPr>
          <w:rFonts w:ascii="Google Sans" w:cs="Google Sans" w:eastAsia="Google Sans" w:hAnsi="Google Sans"/>
          <w:color w:val="1f1f1f"/>
        </w:rPr>
        <w:drawing>
          <wp:inline distB="19050" distT="19050" distL="19050" distR="19050">
            <wp:extent cx="237307" cy="227815"/>
            <wp:effectExtent b="0" l="0" r="0" t="0"/>
            <wp:docPr id="36"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37307" cy="2278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）的数量是常数（通常为2或3），不随簇规模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增加。这使得您的方案在 </w:t>
      </w:r>
      <w:r w:rsidDel="00000000" w:rsidR="00000000" w:rsidRPr="00000000">
        <w:rPr>
          <w:rFonts w:ascii="Google Sans" w:cs="Google Sans" w:eastAsia="Google Sans" w:hAnsi="Google Sans"/>
          <w:color w:val="1f1f1f"/>
        </w:rPr>
        <w:drawing>
          <wp:inline distB="19050" distT="19050" distL="19050" distR="19050">
            <wp:extent cx="598512" cy="228005"/>
            <wp:effectExtent b="0" l="0" r="0" t="0"/>
            <wp:docPr id="3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8512" cy="22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color w:val="1f1f1f"/>
        </w:rPr>
        <w:drawing>
          <wp:inline distB="19050" distT="19050" distL="19050" distR="19050">
            <wp:extent cx="598512" cy="228005"/>
            <wp:effectExtent b="0" l="0" r="0" t="0"/>
            <wp:docPr id="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8512" cy="22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时，相比于这就需要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次配对的传统方案（如早期的 ECDSA 逐个验证）具有压倒性优势。</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对比 Da et al.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，指出您的方案将加密（IBBE）与认证（CLAS）分离，使得在不需要保密仅需认证的场景下（如信标广播），您的计算开销更低。</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通信开销（Communication Overhead）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定义：</w:t>
      </w:r>
      <w:r w:rsidDel="00000000" w:rsidR="00000000" w:rsidRPr="00000000">
        <w:rPr>
          <w:rFonts w:ascii="Google Sans" w:cs="Google Sans" w:eastAsia="Google Sans" w:hAnsi="Google Sans"/>
          <w:color w:val="1f1f1f"/>
          <w:rtl w:val="0"/>
        </w:rPr>
        <w:t xml:space="preserve"> 在认证过程中交互的所有数据包的总大小（以 bits 或 bytes 为单位）。</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数据参数：</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假设在 80-bit 安全等级下：</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843781" cy="227536"/>
            <wp:effectExtent b="0" l="0" r="0" t="0"/>
            <wp:docPr id="1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843781" cy="227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(对于 BN 曲线)</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872431" cy="227591"/>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872431" cy="2275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730226" cy="227603"/>
            <wp:effectExtent b="0" l="0" r="0" t="0"/>
            <wp:docPr id="1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730226" cy="227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694060" cy="228184"/>
            <wp:effectExtent b="0" l="0" r="0" t="0"/>
            <wp:docPr id="1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94060" cy="228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826517" cy="228005"/>
            <wp:effectExtent b="0" l="0" r="0" t="0"/>
            <wp:docPr id="1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826517" cy="22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KB (X.509证书)</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对比策略：</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绘制“通信开销 vs. 无人机数量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”的折线图。</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Ours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下行 (IBBE): 密文大小通常为常数或极小增长 (</w:t>
      </w:r>
      <w:r w:rsidDel="00000000" w:rsidR="00000000" w:rsidRPr="00000000">
        <w:rPr>
          <w:rFonts w:ascii="Google Sans" w:cs="Google Sans" w:eastAsia="Google Sans" w:hAnsi="Google Sans"/>
          <w:color w:val="1f1f1f"/>
        </w:rPr>
        <w:drawing>
          <wp:inline distB="19050" distT="19050" distL="19050" distR="19050">
            <wp:extent cx="493216" cy="227638"/>
            <wp:effectExtent b="0" l="0" r="0" t="0"/>
            <wp:docPr id="1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93216" cy="227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上行 (CLAS): 每个成员发送签名 </w:t>
      </w:r>
      <w:r w:rsidDel="00000000" w:rsidR="00000000" w:rsidRPr="00000000">
        <w:rPr>
          <w:rFonts w:ascii="Google Sans" w:cs="Google Sans" w:eastAsia="Google Sans" w:hAnsi="Google Sans"/>
          <w:color w:val="1f1f1f"/>
        </w:rPr>
        <w:drawing>
          <wp:inline distB="19050" distT="19050" distL="19050" distR="19050">
            <wp:extent cx="159023" cy="224503"/>
            <wp:effectExtent b="0" l="0" r="0" t="0"/>
            <wp:docPr id="1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59023" cy="224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46460" cy="228259"/>
            <wp:effectExtent b="0" l="0" r="0" t="0"/>
            <wp:docPr id="1"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846460" cy="2282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无需传输证书。</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Ali et al.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(CBS):</w:t>
      </w:r>
    </w:p>
    <w:p w:rsidR="00000000" w:rsidDel="00000000" w:rsidP="00000000" w:rsidRDefault="00000000" w:rsidRPr="00000000" w14:paraId="0000008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上行: 签名 + </w:t>
      </w:r>
      <w:r w:rsidDel="00000000" w:rsidR="00000000" w:rsidRPr="00000000">
        <w:rPr>
          <w:rFonts w:ascii="Google Sans" w:cs="Google Sans" w:eastAsia="Google Sans" w:hAnsi="Google Sans"/>
          <w:b w:val="1"/>
          <w:bCs w:val="1"/>
          <w:color w:val="1f1f1f"/>
          <w:rtl w:val="0"/>
        </w:rPr>
        <w:t xml:space="preserve">证书</w:t>
      </w:r>
      <w:r w:rsidDel="00000000" w:rsidR="00000000" w:rsidRPr="00000000">
        <w:rPr>
          <w:rFonts w:ascii="Google Sans" w:cs="Google Sans" w:eastAsia="Google Sans" w:hAnsi="Google Sans"/>
          <w:color w:val="1f1f1f"/>
          <w:rtl w:val="0"/>
        </w:rPr>
        <w:t xml:space="preserve">。曲线斜率将非常陡峭，因为每个节点都要发证书。</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Liu et al.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(IBS):</w:t>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上行: 签名 + ID。开销较低，与您相近。</w:t>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差异点：</w:t>
      </w:r>
      <w:r w:rsidDel="00000000" w:rsidR="00000000" w:rsidRPr="00000000">
        <w:rPr>
          <w:rFonts w:ascii="Google Sans" w:cs="Google Sans" w:eastAsia="Google Sans" w:hAnsi="Google Sans"/>
          <w:color w:val="1f1f1f"/>
          <w:rtl w:val="0"/>
        </w:rPr>
        <w:t xml:space="preserve"> 您可以强调您的方案通过 IBBE 广播，在下行链路（GCS/CH -&gt; CMs）上比 Liu 可能采用的逐个通知更节省带宽。</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故障恢复效率对比（RDCV vs. RL）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这是您针对 Chen et 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的核心回应。尽管 Chen 的应用场景不同，但其核心贡献之一是使用**强化学习（RL）**来识别恶意节点。</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实验设计：</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场景：</w:t>
      </w:r>
      <w:r w:rsidDel="00000000" w:rsidR="00000000" w:rsidRPr="00000000">
        <w:rPr>
          <w:rFonts w:ascii="Google Sans" w:cs="Google Sans" w:eastAsia="Google Sans" w:hAnsi="Google Sans"/>
          <w:color w:val="1f1f1f"/>
          <w:rtl w:val="0"/>
        </w:rPr>
        <w:t xml:space="preserve"> 在一个包含 </w:t>
      </w:r>
      <w:r w:rsidDel="00000000" w:rsidR="00000000" w:rsidRPr="00000000">
        <w:rPr>
          <w:rFonts w:ascii="Google Sans" w:cs="Google Sans" w:eastAsia="Google Sans" w:hAnsi="Google Sans"/>
          <w:color w:val="1f1f1f"/>
        </w:rPr>
        <w:drawing>
          <wp:inline distB="19050" distT="19050" distL="19050" distR="19050">
            <wp:extent cx="598512" cy="228005"/>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8512" cy="22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个节点的簇中，混入 </w:t>
      </w:r>
      <w:r w:rsidDel="00000000" w:rsidR="00000000" w:rsidRPr="00000000">
        <w:rPr>
          <w:rFonts w:ascii="Google Sans" w:cs="Google Sans" w:eastAsia="Google Sans" w:hAnsi="Google Sans"/>
          <w:color w:val="1f1f1f"/>
        </w:rPr>
        <w:drawing>
          <wp:inline distB="19050" distT="19050" distL="19050" distR="19050">
            <wp:extent cx="537120" cy="230194"/>
            <wp:effectExtent b="0" l="0" r="0" t="0"/>
            <wp:docPr id="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37120" cy="230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个恶意节点（提供无效签名）。</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对比方法：</w:t>
      </w:r>
    </w:p>
    <w:p w:rsidR="00000000" w:rsidDel="00000000" w:rsidP="00000000" w:rsidRDefault="00000000" w:rsidRPr="00000000" w14:paraId="0000009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Method A (User's RDCV):</w:t>
      </w:r>
      <w:r w:rsidDel="00000000" w:rsidR="00000000" w:rsidRPr="00000000">
        <w:rPr>
          <w:rFonts w:ascii="Google Sans" w:cs="Google Sans" w:eastAsia="Google Sans" w:hAnsi="Google Sans"/>
          <w:color w:val="1f1f1f"/>
          <w:rtl w:val="0"/>
        </w:rPr>
        <w:t xml:space="preserve"> 确定性二分查找算法。复杂度 </w:t>
      </w:r>
      <w:r w:rsidDel="00000000" w:rsidR="00000000" w:rsidRPr="00000000">
        <w:rPr>
          <w:rFonts w:ascii="Google Sans" w:cs="Google Sans" w:eastAsia="Google Sans" w:hAnsi="Google Sans"/>
          <w:color w:val="1f1f1f"/>
        </w:rPr>
        <w:drawing>
          <wp:inline distB="19050" distT="19050" distL="19050" distR="19050">
            <wp:extent cx="726430" cy="229399"/>
            <wp:effectExtent b="0" l="0" r="0" t="0"/>
            <wp:docPr id="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726430" cy="229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Method B (Chen's RL):</w:t>
      </w:r>
      <w:r w:rsidDel="00000000" w:rsidR="00000000" w:rsidRPr="00000000">
        <w:rPr>
          <w:rFonts w:ascii="Google Sans" w:cs="Google Sans" w:eastAsia="Google Sans" w:hAnsi="Google Sans"/>
          <w:color w:val="1f1f1f"/>
          <w:rtl w:val="0"/>
        </w:rPr>
        <w:t xml:space="preserve"> 强化学习代理。需要推理时间 </w:t>
      </w:r>
      <w:r w:rsidDel="00000000" w:rsidR="00000000" w:rsidRPr="00000000">
        <w:rPr>
          <w:rFonts w:ascii="Google Sans" w:cs="Google Sans" w:eastAsia="Google Sans" w:hAnsi="Google Sans"/>
          <w:color w:val="1f1f1f"/>
        </w:rPr>
        <w:drawing>
          <wp:inline distB="19050" distT="19050" distL="19050" distR="19050">
            <wp:extent cx="438001" cy="228522"/>
            <wp:effectExtent b="0" l="0" r="0" t="0"/>
            <wp:docPr id="5"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438001" cy="228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Method C (Yang et al. BSI):</w:t>
      </w:r>
      <w:r w:rsidDel="00000000" w:rsidR="00000000" w:rsidRPr="00000000">
        <w:rPr>
          <w:rFonts w:ascii="Google Sans" w:cs="Google Sans" w:eastAsia="Google Sans" w:hAnsi="Google Sans"/>
          <w:color w:val="1f1f1f"/>
          <w:rtl w:val="0"/>
        </w:rPr>
        <w:t xml:space="preserve"> 传统二分搜索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预期结果：</w:t>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在小规模网络（</w:t>
      </w:r>
      <w:r w:rsidDel="00000000" w:rsidR="00000000" w:rsidRPr="00000000">
        <w:rPr>
          <w:rFonts w:ascii="Google Sans" w:cs="Google Sans" w:eastAsia="Google Sans" w:hAnsi="Google Sans"/>
          <w:color w:val="1f1f1f"/>
        </w:rPr>
        <w:drawing>
          <wp:inline distB="19050" distT="19050" distL="19050" distR="19050">
            <wp:extent cx="690711" cy="227083"/>
            <wp:effectExtent b="0" l="0" r="0" t="0"/>
            <wp:docPr id="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690711" cy="22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）下，RDCV 的执行时间应是</w:t>
      </w:r>
      <w:r w:rsidDel="00000000" w:rsidR="00000000" w:rsidRPr="00000000">
        <w:rPr>
          <w:rFonts w:ascii="Google Sans" w:cs="Google Sans" w:eastAsia="Google Sans" w:hAnsi="Google Sans"/>
          <w:b w:val="1"/>
          <w:bCs w:val="1"/>
          <w:color w:val="1f1f1f"/>
          <w:rtl w:val="0"/>
        </w:rPr>
        <w:t xml:space="preserve">毫秒级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RL 方法由于涉及到神经网络加载和推理（矩阵运算），在小规模下往往是“杀鸡用牛刀”，耗时可能在</w:t>
      </w:r>
      <w:r w:rsidDel="00000000" w:rsidR="00000000" w:rsidRPr="00000000">
        <w:rPr>
          <w:rFonts w:ascii="Google Sans" w:cs="Google Sans" w:eastAsia="Google Sans" w:hAnsi="Google Sans"/>
          <w:b w:val="1"/>
          <w:bCs w:val="1"/>
          <w:color w:val="1f1f1f"/>
          <w:rtl w:val="0"/>
        </w:rPr>
        <w:t xml:space="preserve">十毫秒甚至百毫秒级</w:t>
      </w:r>
      <w:r w:rsidDel="00000000" w:rsidR="00000000" w:rsidRPr="00000000">
        <w:rPr>
          <w:rFonts w:ascii="Google Sans" w:cs="Google Sans" w:eastAsia="Google Sans" w:hAnsi="Google Sans"/>
          <w:color w:val="1f1f1f"/>
          <w:rtl w:val="0"/>
        </w:rPr>
        <w:t xml:space="preserve">，且存在训练收敛问题。</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 您的图表应显示，随着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增大，RL 可能在极大规模下有优势，但在典型的战术无人机分簇（</w:t>
      </w:r>
      <w:r w:rsidDel="00000000" w:rsidR="00000000" w:rsidRPr="00000000">
        <w:rPr>
          <w:rFonts w:ascii="Google Sans" w:cs="Google Sans" w:eastAsia="Google Sans" w:hAnsi="Google Sans"/>
          <w:color w:val="1f1f1f"/>
        </w:rPr>
        <w:drawing>
          <wp:inline distB="19050" distT="19050" distL="19050" distR="19050">
            <wp:extent cx="598512" cy="228005"/>
            <wp:effectExtent b="0" l="0" r="0" t="0"/>
            <wp:docPr id="8"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8512" cy="228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）场景下，您的确定性算法在**时延（Latency）</w:t>
      </w:r>
      <w:r w:rsidDel="00000000" w:rsidR="00000000" w:rsidRPr="00000000">
        <w:rPr>
          <w:rFonts w:ascii="Google Sans" w:cs="Google Sans" w:eastAsia="Google Sans" w:hAnsi="Google Sans"/>
          <w:b w:val="1"/>
          <w:bCs w:val="1"/>
          <w:color w:val="1f1f1f"/>
          <w:rtl w:val="0"/>
        </w:rPr>
        <w:t xml:space="preserve">和</w:t>
      </w:r>
      <w:r w:rsidDel="00000000" w:rsidR="00000000" w:rsidRPr="00000000">
        <w:rPr>
          <w:rFonts w:ascii="Google Sans" w:cs="Google Sans" w:eastAsia="Google Sans" w:hAnsi="Google Sans"/>
          <w:color w:val="1f1f1f"/>
          <w:rtl w:val="0"/>
        </w:rPr>
        <w:t xml:space="preserve">资源消耗（CPU/Memory）**上完胜。</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综合建议与写作指导</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明确“同类”的定义</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在论文的“相关工作”或“实验设置”部分，明确指出您选择对比文献的逻辑：</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"鉴于本文关注</w:t>
      </w:r>
      <w:r w:rsidDel="00000000" w:rsidR="00000000" w:rsidRPr="00000000">
        <w:rPr>
          <w:rFonts w:ascii="Google Sans" w:cs="Google Sans" w:eastAsia="Google Sans" w:hAnsi="Google Sans"/>
          <w:b w:val="1"/>
          <w:bCs w:val="1"/>
          <w:color w:val="1f1f1f"/>
          <w:rtl w:val="0"/>
        </w:rPr>
        <w:t xml:space="preserve">分簇网络内部</w:t>
      </w:r>
      <w:r w:rsidDel="00000000" w:rsidR="00000000" w:rsidRPr="00000000">
        <w:rPr>
          <w:rFonts w:ascii="Google Sans" w:cs="Google Sans" w:eastAsia="Google Sans" w:hAnsi="Google Sans"/>
          <w:color w:val="1f1f1f"/>
          <w:rtl w:val="0"/>
        </w:rPr>
        <w:t xml:space="preserve">的高效认证，我们选择了在拓扑结构上具有同构性的 Liu et al.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和 Da et al.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作为主要基准。同时，为了量化无证书机制带来的带宽优势，我们引入了基于证书的 Ali et al.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作为对照。此外，针对批量认证中的抗攻击能力，我们将本文提出的 RDCV 策略与 Chen et 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的智能识别算法进行了不同规模下的适用性对比。"</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强调 IBBE 的独特性</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大多数对比文献（如 Liu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）主要关注上行链路的“聚合签名”。您的方案通过集成 </w:t>
      </w:r>
      <w:r w:rsidDel="00000000" w:rsidR="00000000" w:rsidRPr="00000000">
        <w:rPr>
          <w:rFonts w:ascii="Google Sans" w:cs="Google Sans" w:eastAsia="Google Sans" w:hAnsi="Google Sans"/>
          <w:b w:val="1"/>
          <w:bCs w:val="1"/>
          <w:color w:val="1f1f1f"/>
          <w:rtl w:val="0"/>
        </w:rPr>
        <w:t xml:space="preserve">IBBE</w:t>
      </w:r>
      <w:r w:rsidDel="00000000" w:rsidR="00000000" w:rsidRPr="00000000">
        <w:rPr>
          <w:rFonts w:ascii="Google Sans" w:cs="Google Sans" w:eastAsia="Google Sans" w:hAnsi="Google Sans"/>
          <w:color w:val="1f1f1f"/>
          <w:rtl w:val="0"/>
        </w:rPr>
        <w:t xml:space="preserve"> 优化了下行链路（会话密钥分发）。在实验中，不仅要比“验证速度”，还要比“</w:t>
      </w:r>
      <w:r w:rsidDel="00000000" w:rsidR="00000000" w:rsidRPr="00000000">
        <w:rPr>
          <w:rFonts w:ascii="Google Sans" w:cs="Google Sans" w:eastAsia="Google Sans" w:hAnsi="Google Sans"/>
          <w:b w:val="1"/>
          <w:bCs w:val="1"/>
          <w:color w:val="1f1f1f"/>
          <w:rtl w:val="0"/>
        </w:rPr>
        <w:t xml:space="preserve">会话密钥建立的总时延（Total Session Key Establishment Latency）</w:t>
      </w:r>
      <w:r w:rsidDel="00000000" w:rsidR="00000000" w:rsidRPr="00000000">
        <w:rPr>
          <w:rFonts w:ascii="Google Sans" w:cs="Google Sans" w:eastAsia="Google Sans" w:hAnsi="Google Sans"/>
          <w:color w:val="1f1f1f"/>
          <w:rtl w:val="0"/>
        </w:rPr>
        <w:t xml:space="preserve">”。这将涵盖下行广播的时间，从而凸显您方案的全面性。</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区块链的作用域</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在对比 Tian et al.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时，要澄清区块链的角色。Tian 的方案可能将大量数据摘要上链，这会导致高昂的 Gas 费和存储压力。您的方案应强调**“链下认证，链上管理”**的策略——即仅利用区块链进行公钥查询和恶意节点撤销，不进行高频的数据存证。通过计算 Gas 消耗量的对比，可以证明您的方案更具经济性和可持续性。</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结论</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通过引入 </w:t>
      </w:r>
      <w:r w:rsidDel="00000000" w:rsidR="00000000" w:rsidRPr="00000000">
        <w:rPr>
          <w:rFonts w:ascii="Google Sans" w:cs="Google Sans" w:eastAsia="Google Sans" w:hAnsi="Google Sans"/>
          <w:b w:val="1"/>
          <w:bCs w:val="1"/>
          <w:color w:val="1f1f1f"/>
          <w:rtl w:val="0"/>
        </w:rPr>
        <w:t xml:space="preserve">Liu et al. (2020)</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b w:val="1"/>
          <w:bCs w:val="1"/>
          <w:color w:val="1f1f1f"/>
          <w:rtl w:val="0"/>
        </w:rPr>
        <w:t xml:space="preserve">Da et al. (2021)</w:t>
      </w:r>
      <w:r w:rsidDel="00000000" w:rsidR="00000000" w:rsidRPr="00000000">
        <w:rPr>
          <w:rFonts w:ascii="Google Sans" w:cs="Google Sans" w:eastAsia="Google Sans" w:hAnsi="Google Sans"/>
          <w:color w:val="1f1f1f"/>
          <w:rtl w:val="0"/>
        </w:rPr>
        <w:t xml:space="preserve"> 作为拓扑和机制上的直接竞争对手，以及 </w:t>
      </w:r>
      <w:r w:rsidDel="00000000" w:rsidR="00000000" w:rsidRPr="00000000">
        <w:rPr>
          <w:rFonts w:ascii="Google Sans" w:cs="Google Sans" w:eastAsia="Google Sans" w:hAnsi="Google Sans"/>
          <w:b w:val="1"/>
          <w:bCs w:val="1"/>
          <w:color w:val="1f1f1f"/>
          <w:rtl w:val="0"/>
        </w:rPr>
        <w:t xml:space="preserve">Ali et al. (2022)</w:t>
      </w:r>
      <w:r w:rsidDel="00000000" w:rsidR="00000000" w:rsidRPr="00000000">
        <w:rPr>
          <w:rFonts w:ascii="Google Sans" w:cs="Google Sans" w:eastAsia="Google Sans" w:hAnsi="Google Sans"/>
          <w:color w:val="1f1f1f"/>
          <w:rtl w:val="0"/>
        </w:rPr>
        <w:t xml:space="preserve"> 作为技术路线的对照组，阁下可以构建一个立体、严谨的实验对比章节。这些文献均在提供的搜索片段中得到了详细确认，完全能够支撑起“计算开销”与“通信开销”的量化分析。同时，保留 Chen et 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作为故障恢复策略的对比对象（RDCV vs. RL），将进一步升华论文的创新点，从单纯的效率提升上升到“针对特定规模网络的算法适配性”这一更高层面的讨论。</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附录：建议引用的文献列表（基于搜索结果构建）</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 Liu, J., et al. "An Aggregate Authentication Framework for Unmanned Aerial Vehicle Cluster Network." </w:t>
      </w:r>
      <w:r w:rsidDel="00000000" w:rsidR="00000000" w:rsidRPr="00000000">
        <w:rPr>
          <w:rFonts w:ascii="Google Sans" w:cs="Google Sans" w:eastAsia="Google Sans" w:hAnsi="Google Sans"/>
          <w:i w:val="1"/>
          <w:iCs w:val="1"/>
          <w:color w:val="1f1f1f"/>
          <w:rtl w:val="0"/>
        </w:rPr>
        <w:t xml:space="preserve">IEEE ISPA/BDCloud/SocialCom/SustainCom</w:t>
      </w:r>
      <w:r w:rsidDel="00000000" w:rsidR="00000000" w:rsidRPr="00000000">
        <w:rPr>
          <w:rFonts w:ascii="Google Sans" w:cs="Google Sans" w:eastAsia="Google Sans" w:hAnsi="Google Sans"/>
          <w:color w:val="1f1f1f"/>
          <w:rtl w:val="0"/>
        </w:rPr>
        <w:t xml:space="preserve">, 2020.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Da, L., et al. "An Efficient Certificateless Signcryption Scheme for Secure Communication in UAV Cluster Network." </w:t>
      </w:r>
      <w:r w:rsidDel="00000000" w:rsidR="00000000" w:rsidRPr="00000000">
        <w:rPr>
          <w:rFonts w:ascii="Google Sans" w:cs="Google Sans" w:eastAsia="Google Sans" w:hAnsi="Google Sans"/>
          <w:i w:val="1"/>
          <w:iCs w:val="1"/>
          <w:color w:val="1f1f1f"/>
          <w:rtl w:val="0"/>
        </w:rPr>
        <w:t xml:space="preserve">IEEE ISPA</w:t>
      </w:r>
      <w:r w:rsidDel="00000000" w:rsidR="00000000" w:rsidRPr="00000000">
        <w:rPr>
          <w:rFonts w:ascii="Google Sans" w:cs="Google Sans" w:eastAsia="Google Sans" w:hAnsi="Google Sans"/>
          <w:color w:val="1f1f1f"/>
          <w:rtl w:val="0"/>
        </w:rPr>
        <w:t xml:space="preserve">, 2021.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Tian, J., et al. "HCCAS: A hierarchical consensus-based certificateless aggregate signcryption scheme for drone networks." </w:t>
      </w:r>
      <w:r w:rsidDel="00000000" w:rsidR="00000000" w:rsidRPr="00000000">
        <w:rPr>
          <w:rFonts w:ascii="Google Sans" w:cs="Google Sans" w:eastAsia="Google Sans" w:hAnsi="Google Sans"/>
          <w:i w:val="1"/>
          <w:iCs w:val="1"/>
          <w:color w:val="1f1f1f"/>
          <w:rtl w:val="0"/>
        </w:rPr>
        <w:t xml:space="preserve">Journal of Information Security and Applications</w:t>
      </w:r>
      <w:r w:rsidDel="00000000" w:rsidR="00000000" w:rsidRPr="00000000">
        <w:rPr>
          <w:rFonts w:ascii="Google Sans" w:cs="Google Sans" w:eastAsia="Google Sans" w:hAnsi="Google Sans"/>
          <w:color w:val="1f1f1f"/>
          <w:rtl w:val="0"/>
        </w:rPr>
        <w:t xml:space="preserve">, 2025.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Ali, Z., et al. "An Efficient Certificate-Based Aggregate Signature Scheme for Internet of Drones." </w:t>
      </w:r>
      <w:r w:rsidDel="00000000" w:rsidR="00000000" w:rsidRPr="00000000">
        <w:rPr>
          <w:rFonts w:ascii="Google Sans" w:cs="Google Sans" w:eastAsia="Google Sans" w:hAnsi="Google Sans"/>
          <w:i w:val="1"/>
          <w:iCs w:val="1"/>
          <w:color w:val="1f1f1f"/>
          <w:rtl w:val="0"/>
        </w:rPr>
        <w:t xml:space="preserve">Security and Communication Networks</w:t>
      </w:r>
      <w:r w:rsidDel="00000000" w:rsidR="00000000" w:rsidRPr="00000000">
        <w:rPr>
          <w:rFonts w:ascii="Google Sans" w:cs="Google Sans" w:eastAsia="Google Sans" w:hAnsi="Google Sans"/>
          <w:color w:val="1f1f1f"/>
          <w:rtl w:val="0"/>
        </w:rPr>
        <w:t xml:space="preserve">, 2022.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 Chen, Z., et al. "Efficient One-to-Many Authentication With Intelligent Illegal Request Identification for UAV Networks." </w:t>
      </w:r>
      <w:r w:rsidDel="00000000" w:rsidR="00000000" w:rsidRPr="00000000">
        <w:rPr>
          <w:rFonts w:ascii="Google Sans" w:cs="Google Sans" w:eastAsia="Google Sans" w:hAnsi="Google Sans"/>
          <w:i w:val="1"/>
          <w:iCs w:val="1"/>
          <w:color w:val="1f1f1f"/>
          <w:rtl w:val="0"/>
        </w:rPr>
        <w:t xml:space="preserve">IEEE Transactions on Information Forensics and Security</w:t>
      </w:r>
      <w:r w:rsidDel="00000000" w:rsidR="00000000" w:rsidRPr="00000000">
        <w:rPr>
          <w:rFonts w:ascii="Google Sans" w:cs="Google Sans" w:eastAsia="Google Sans" w:hAnsi="Google Sans"/>
          <w:color w:val="1f1f1f"/>
          <w:rtl w:val="0"/>
        </w:rPr>
        <w:t xml:space="preserve">, 2025.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以上文献组合将为阁下的论文提供坚实的实验对比基础。</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myArticle.pdf</w:t>
      </w:r>
    </w:p>
    <w:p w:rsidR="00000000" w:rsidDel="00000000" w:rsidP="00000000" w:rsidRDefault="00000000" w:rsidRPr="00000000" w14:paraId="000000B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Efficient Certificate-Based Aggregate Signature Scheme for Internet of Drones, accessed January 14,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https://www.researchgate.net/publication/357869927_An_Efficient_Certificate-Based_Aggregate_Signature_Scheme_for_Internet_of_Drones</w:t>
        </w:r>
      </w:hyperlink>
      <w:r w:rsidDel="00000000" w:rsidR="00000000" w:rsidRPr="00000000">
        <w:rPr>
          <w:rtl w:val="0"/>
        </w:rPr>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Aggregate Authentication Framework for Unmanned Aerial Vehicle Cluster Network, accessed January 14, 2026, </w:t>
      </w:r>
      <w:hyperlink r:id="rId37">
        <w:r w:rsidDel="00000000" w:rsidR="00000000" w:rsidRPr="00000000">
          <w:rPr>
            <w:rFonts w:ascii="Google Sans" w:cs="Google Sans" w:eastAsia="Google Sans" w:hAnsi="Google Sans"/>
            <w:color w:val="0000ee"/>
            <w:sz w:val="24"/>
            <w:szCs w:val="24"/>
            <w:u w:val="single"/>
            <w:rtl w:val="0"/>
          </w:rPr>
          <w:t xml:space="preserve">https://ira.lib.polyu.edu.hk/bitstream/10397/105496/1/Liu_Aggregate_Authentication_Framework.pdf</w:t>
        </w:r>
      </w:hyperlink>
      <w:r w:rsidDel="00000000" w:rsidR="00000000" w:rsidRPr="00000000">
        <w:rPr>
          <w:rtl w:val="0"/>
        </w:rPr>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Efficient Certificateless Signcryption Scheme for Secure Communication in UAV Cluster Network | Request PDF - ResearchGate, accessed January 14,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https://www.researchgate.net/publication/357262112_An_Efficient_Certificateless_Signcryption_Scheme_for_Secure_Communication_in_UAV_Cluster_Network</w:t>
        </w:r>
      </w:hyperlink>
      <w:r w:rsidDel="00000000" w:rsidR="00000000" w:rsidRPr="00000000">
        <w:rPr>
          <w:rtl w:val="0"/>
        </w:rPr>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HCCAS: A hierarchical consensus-based certificateless aggregate signcryption scheme for drone networks - ResearchGate, accessed January 14,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https://www.researchgate.net/publication/397157779_HCCAS_A_hierarchical_consensus-based_certificateless_aggregate_signcryption_scheme_for_drone_networks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9.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6.png"/><Relationship Id="rId25" Type="http://schemas.openxmlformats.org/officeDocument/2006/relationships/image" Target="media/image2.png"/><Relationship Id="rId28" Type="http://schemas.openxmlformats.org/officeDocument/2006/relationships/image" Target="media/image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9.png"/><Relationship Id="rId7" Type="http://schemas.openxmlformats.org/officeDocument/2006/relationships/image" Target="media/image14.png"/><Relationship Id="rId8" Type="http://schemas.openxmlformats.org/officeDocument/2006/relationships/image" Target="media/image9.png"/><Relationship Id="rId31" Type="http://schemas.openxmlformats.org/officeDocument/2006/relationships/image" Target="media/image23.png"/><Relationship Id="rId30" Type="http://schemas.openxmlformats.org/officeDocument/2006/relationships/image" Target="media/image28.png"/><Relationship Id="rId11" Type="http://schemas.openxmlformats.org/officeDocument/2006/relationships/image" Target="media/image30.png"/><Relationship Id="rId33" Type="http://schemas.openxmlformats.org/officeDocument/2006/relationships/image" Target="media/image20.png"/><Relationship Id="rId10" Type="http://schemas.openxmlformats.org/officeDocument/2006/relationships/image" Target="media/image25.png"/><Relationship Id="rId32" Type="http://schemas.openxmlformats.org/officeDocument/2006/relationships/image" Target="media/image17.png"/><Relationship Id="rId13" Type="http://schemas.openxmlformats.org/officeDocument/2006/relationships/image" Target="media/image16.png"/><Relationship Id="rId35" Type="http://schemas.openxmlformats.org/officeDocument/2006/relationships/image" Target="media/image11.png"/><Relationship Id="rId12" Type="http://schemas.openxmlformats.org/officeDocument/2006/relationships/image" Target="media/image21.png"/><Relationship Id="rId34" Type="http://schemas.openxmlformats.org/officeDocument/2006/relationships/image" Target="media/image1.png"/><Relationship Id="rId15" Type="http://schemas.openxmlformats.org/officeDocument/2006/relationships/image" Target="media/image27.png"/><Relationship Id="rId37" Type="http://schemas.openxmlformats.org/officeDocument/2006/relationships/hyperlink" Target="https://ira.lib.polyu.edu.hk/bitstream/10397/105496/1/Liu_Aggregate_Authentication_Framework.pdf" TargetMode="External"/><Relationship Id="rId14" Type="http://schemas.openxmlformats.org/officeDocument/2006/relationships/image" Target="media/image12.png"/><Relationship Id="rId36" Type="http://schemas.openxmlformats.org/officeDocument/2006/relationships/hyperlink" Target="https://www.researchgate.net/publication/357869927_An_Efficient_Certificate-Based_Aggregate_Signature_Scheme_for_Internet_of_Drones" TargetMode="External"/><Relationship Id="rId17" Type="http://schemas.openxmlformats.org/officeDocument/2006/relationships/image" Target="media/image18.png"/><Relationship Id="rId39" Type="http://schemas.openxmlformats.org/officeDocument/2006/relationships/hyperlink" Target="https://www.researchgate.net/publication/397157779_HCCAS_A_hierarchical_consensus-based_certificateless_aggregate_signcryption_scheme_for_drone_networks" TargetMode="External"/><Relationship Id="rId16" Type="http://schemas.openxmlformats.org/officeDocument/2006/relationships/image" Target="media/image15.png"/><Relationship Id="rId38" Type="http://schemas.openxmlformats.org/officeDocument/2006/relationships/hyperlink" Target="https://www.researchgate.net/publication/357262112_An_Efficient_Certificateless_Signcryption_Scheme_for_Secure_Communication_in_UAV_Cluster_Network" TargetMode="External"/><Relationship Id="rId19" Type="http://schemas.openxmlformats.org/officeDocument/2006/relationships/image" Target="media/image26.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