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color w:val="666666"/>
          <w:sz w:val="20"/>
          <w:szCs w:val="20"/>
        </w:rPr>
        <w:t xml:space="preserve">PROJET FIL ROUGE | MASTER 1</w:t>
      </w:r>
    </w:p>
    <w:p>
      <w:pPr>
        <w:spacing w:before="400"/>
      </w:pPr>
      <w:r>
        <w:rPr>
          <w:rFonts w:ascii="Montserrat" w:cs="Montserrat" w:eastAsia="Montserrat" w:hAnsi="Montserrat"/>
          <w:b/>
          <w:bCs/>
          <w:color w:val="1F3864"/>
          <w:sz w:val="56"/>
          <w:szCs w:val="56"/>
        </w:rPr>
        <w:t xml:space="preserve">NOVA GRAPH</w:t>
      </w:r>
    </w:p>
    <w:p>
      <w:pPr>
        <w:spacing w:before="100"/>
      </w:pPr>
      <w:r>
        <w:rPr>
          <w:color w:val="444444"/>
          <w:sz w:val="24"/>
          <w:szCs w:val="24"/>
        </w:rPr>
        <w:t xml:space="preserve">Jeu narratif éducatif, éco-responsable et accessible</w:t>
      </w:r>
    </w:p>
    <w:p>
      <w:pPr>
        <w:spacing w:before="500"/>
      </w:pPr>
      <w:r>
        <w:rPr>
          <w:rFonts w:ascii="Montserrat" w:cs="Montserrat" w:eastAsia="Montserrat" w:hAnsi="Montserrat"/>
          <w:b/>
          <w:bCs/>
          <w:color w:val="2E74B5"/>
          <w:sz w:val="32"/>
          <w:szCs w:val="32"/>
        </w:rPr>
        <w:t xml:space="preserve">ÉTUDE DE MARCHÉ — VERSION ALLÉGÉE</w:t>
      </w:r>
    </w:p>
    <w:p>
      <w:pPr>
        <w:spacing w:before="100"/>
      </w:pPr>
      <w:r>
        <w:rPr>
          <w:color w:val="666666"/>
          <w:sz w:val="20"/>
          <w:szCs w:val="20"/>
        </w:rPr>
        <w:t xml:space="preserve">Cadrage, marché, demande locale, offre concurrentielle, partenaires et synthèse stratégique</w:t>
      </w:r>
    </w:p>
    <w:p>
      <w:pPr>
        <w:spacing w:before="600"/>
      </w:pPr>
      <w:r>
        <w:rPr>
          <w:sz w:val="22"/>
          <w:szCs w:val="22"/>
        </w:rPr>
        <w:t xml:space="preserve">Mégane Milville</w:t>
      </w:r>
    </w:p>
    <w:p>
      <w:r>
        <w:rPr>
          <w:sz w:val="22"/>
          <w:szCs w:val="22"/>
        </w:rPr>
        <w:t xml:space="preserve">Master 1 Direction de la communication digitale</w:t>
      </w:r>
    </w:p>
    <w:p>
      <w:r>
        <w:rPr>
          <w:sz w:val="22"/>
          <w:szCs w:val="22"/>
        </w:rPr>
        <w:t xml:space="preserve">Laho Formation, Roubaix</w:t>
      </w:r>
    </w:p>
    <w:p>
      <w:r>
        <w:rPr>
          <w:sz w:val="22"/>
          <w:szCs w:val="22"/>
        </w:rPr>
        <w:t xml:space="preserve">Sprint 2, Livrable 3</w:t>
      </w:r>
    </w:p>
    <w:p>
      <w:r>
        <w:br w:type="page"/>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Sommaire</w:t>
      </w:r>
    </w:p>
    <w:p>
      <w:pPr>
        <w:tabs>
          <w:tab w:val="right" w:pos="9026" w:leader="dot"/>
        </w:tabs>
        <w:spacing w:after="120"/>
      </w:pPr>
      <w:r>
        <w:t xml:space="preserve">1. Cadrage de l'étude</w:t>
      </w:r>
      <w:r>
        <w:ptab w:alignment="right" w:relativeTo="margin" w:leader="dot"/>
      </w:r>
      <w:r>
        <w:t xml:space="preserve">3</w:t>
      </w:r>
    </w:p>
    <w:p>
      <w:pPr>
        <w:tabs>
          <w:tab w:val="right" w:pos="9026" w:leader="dot"/>
        </w:tabs>
        <w:spacing w:after="120"/>
      </w:pPr>
      <w:r>
        <w:t xml:space="preserve">2. Méthodologie</w:t>
      </w:r>
      <w:r>
        <w:ptab w:alignment="right" w:relativeTo="margin" w:leader="dot"/>
      </w:r>
      <w:r>
        <w:t xml:space="preserve">3</w:t>
      </w:r>
    </w:p>
    <w:p>
      <w:pPr>
        <w:tabs>
          <w:tab w:val="right" w:pos="9026" w:leader="dot"/>
        </w:tabs>
        <w:spacing w:after="120"/>
      </w:pPr>
      <w:r>
        <w:t xml:space="preserve">3. Le marché</w:t>
      </w:r>
      <w:r>
        <w:ptab w:alignment="right" w:relativeTo="margin" w:leader="dot"/>
      </w:r>
      <w:r>
        <w:t xml:space="preserve">3</w:t>
      </w:r>
    </w:p>
    <w:p>
      <w:pPr>
        <w:tabs>
          <w:tab w:val="right" w:pos="9026" w:leader="dot"/>
        </w:tabs>
        <w:spacing w:after="120"/>
      </w:pPr>
      <w:r>
        <w:t xml:space="preserve">4. La demande locale</w:t>
      </w:r>
      <w:r>
        <w:ptab w:alignment="right" w:relativeTo="margin" w:leader="dot"/>
      </w:r>
      <w:r>
        <w:t xml:space="preserve">4</w:t>
      </w:r>
    </w:p>
    <w:p>
      <w:pPr>
        <w:tabs>
          <w:tab w:val="right" w:pos="9026" w:leader="dot"/>
        </w:tabs>
        <w:spacing w:after="120"/>
      </w:pPr>
      <w:r>
        <w:t xml:space="preserve">5. L'offre concurrentielle</w:t>
      </w:r>
      <w:r>
        <w:ptab w:alignment="right" w:relativeTo="margin" w:leader="dot"/>
      </w:r>
      <w:r>
        <w:t xml:space="preserve">5</w:t>
      </w:r>
    </w:p>
    <w:p>
      <w:pPr>
        <w:tabs>
          <w:tab w:val="right" w:pos="9026" w:leader="dot"/>
        </w:tabs>
        <w:spacing w:after="120"/>
      </w:pPr>
      <w:r>
        <w:t xml:space="preserve">6. Partenaires</w:t>
      </w:r>
      <w:r>
        <w:ptab w:alignment="right" w:relativeTo="margin" w:leader="dot"/>
      </w:r>
      <w:r>
        <w:t xml:space="preserve">5</w:t>
      </w:r>
    </w:p>
    <w:p>
      <w:pPr>
        <w:tabs>
          <w:tab w:val="right" w:pos="9026" w:leader="dot"/>
        </w:tabs>
        <w:spacing w:after="120"/>
      </w:pPr>
      <w:r>
        <w:t xml:space="preserve">7. Conclusion</w:t>
      </w:r>
      <w:r>
        <w:ptab w:alignment="right" w:relativeTo="margin" w:leader="dot"/>
      </w:r>
      <w:r>
        <w:t xml:space="preserve">6</w:t>
      </w:r>
    </w:p>
    <w:p>
      <w:r>
        <w:br w:type="page"/>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1. Cadrage de l'étude</w:t>
      </w:r>
    </w:p>
    <w:p>
      <w:pPr>
        <w:spacing w:after="160" w:line="276"/>
        <w:jc w:val="both"/>
      </w:pPr>
      <w:r>
        <w:t xml:space="preserve">Nova Graph est un jeu narratif éducatif gratuit, développé sous Ren'Py, destiné aux collégiens de sixième et de cinquième. Le projet articule trois intentions rarement combinées : transmettre des réflexes d'éco-responsabilité par un récit interactif à embranchements plutôt que par un exercice, et concevoir l'ensemble dès l'origine pour être accessible aux élèves présentant un trouble du neurodéveloppement.</w:t>
      </w:r>
    </w:p>
    <w:p>
      <w:pPr>
        <w:spacing w:after="160" w:line="276"/>
        <w:jc w:val="both"/>
      </w:pPr>
      <w:r>
        <w:t xml:space="preserve">La problématique posée au Sprint 1 reste le fil directeur de cette étude. Les dispositifs de sensibilisation environnementale au collège reposent majoritairement sur des formats descendants qui supposent une lecture fluide et une attention soutenue, deux prérequis que les profils TND mobilisent le plus difficilement. Les élèves les plus exposés au décrochage scolaire sont donc aussi ceux que ces outils atteignent le moins.</w:t>
      </w:r>
    </w:p>
    <w:p>
      <w:pPr>
        <w:spacing w:after="160" w:line="276"/>
        <w:jc w:val="both"/>
      </w:pPr>
      <w:r>
        <w:t xml:space="preserve">Cette étude de marché doit vérifier si l'espace supposé par Nova Graph existe réellement : mesurer sa taille, identifier les acteurs qui pourraient l'occuper, et comprendre ce qui déclenche ou freine l'adoption d'un outil de ce type par les enseignants, premiers prescripteurs en milieu scolaire.</w:t>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2. Méthodologie</w:t>
      </w:r>
    </w:p>
    <w:p>
      <w:pPr>
        <w:spacing w:after="160" w:line="276"/>
        <w:jc w:val="both"/>
      </w:pPr>
      <w:r>
        <w:t xml:space="preserve">J'ai retenu une approche mixte séquentielle, où le qualitatif précède et informe le quantitatif. Les entretiens semi-directifs auprès d'enseignants, de professionnels de l'accompagnement TND et de parents permettent de faire émerger les catégories de besoins et le vocabulaire réellement employé. Le questionnaire, construit à partir de ces catégories, mesure ensuite leur fréquence et leur hiérarchie sur un échantillon plus large. Les tests utilisateurs sur prototype interviendront dans un troisième temps, pour confronter les déclarations recueillies aux comportements observés.</w:t>
      </w:r>
    </w:p>
    <w:p>
      <w:pPr>
        <w:spacing w:after="160" w:line="276"/>
        <w:jc w:val="both"/>
      </w:pPr>
      <w:r>
        <w:rPr>
          <w:b/>
          <w:bCs/>
          <w:color w:val="1F3864"/>
        </w:rPr>
        <w:t xml:space="preserve">Point de vigilance. </w:t>
      </w:r>
      <w:r>
        <w:t xml:space="preserve">Toutes les données chiffrées de cette étude proviennent à ce stade de sources secondaires publiques. Aucune donnée primaire n'a encore été collectée : les protocoles sont définis, mais leurs résultats ne sont pas encore disponibles.</w:t>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3. Le marché</w:t>
      </w:r>
    </w:p>
    <w:p>
      <w:pPr>
        <w:spacing w:after="160" w:line="276"/>
        <w:jc w:val="both"/>
      </w:pPr>
      <w:r>
        <w:t xml:space="preserve">Nova Graph s'insère dans la filière française du numérique éducatif, qui a généré 1,8 milliard d'euros de chiffre d'affaires en 2025, en croissance modérée depuis 2023. Le segment scolaire, seul pertinent ici, en représente 22 %, soit environ 396 millions d'euros. C'est un marché de petite taille au regard du secteur global, mais suffisamment structuré pour produire des standards de qualité.</w:t>
      </w:r>
    </w:p>
    <w:p>
      <w:pPr>
        <w:spacing w:after="160" w:line="276"/>
        <w:jc w:val="both"/>
      </w:pPr>
      <w:r>
        <w:t xml:space="preserve">Le contexte réglementaire et démographique est favorable. Les collégiens représentent 3,37 millions d'élèves en France, dont environ un sur six susceptible de présenter un trouble du neurodéveloppement, selon les repères publics de la stratégie nationale TND. L'éducation au développement durable est inscrite aux programmes, et l'inclusion scolaire des élèves TND constitue une priorité affichée de politique publique depuis plusieurs années. Ces deux priorités se rencontrent rarement dans un même outil, ce qui ouvre un espace, probablement temporaire.</w:t>
      </w:r>
    </w:p>
    <w:p>
      <w:pPr>
        <w:spacing w:after="160" w:line="276"/>
        <w:jc w:val="both"/>
      </w:pPr>
      <w:r>
        <w:t xml:space="preserve">Plusieurs tendances structurent ce marché et ont une implication directe pour Nova Graph :</w:t>
      </w:r>
    </w:p>
    <w:p>
      <w:pPr>
        <w:pStyle w:val="ListParagraph"/>
        <w:numPr>
          <w:ilvl w:val="0"/>
          <w:numId w:val="1"/>
        </w:numPr>
        <w:spacing w:after="80" w:line="276"/>
        <w:jc w:val="both"/>
      </w:pPr>
      <w:r>
        <w:t xml:space="preserve">L'hétérogénéité du parc informatique des collèges impose une version fonctionnant en navigateur, sans installation ni compte.</w:t>
      </w:r>
    </w:p>
    <w:p>
      <w:pPr>
        <w:pStyle w:val="ListParagraph"/>
        <w:numPr>
          <w:ilvl w:val="0"/>
          <w:numId w:val="1"/>
        </w:numPr>
        <w:spacing w:after="80" w:line="276"/>
        <w:jc w:val="both"/>
      </w:pPr>
      <w:r>
        <w:t xml:space="preserve">La généralisation des outils de génération assistée abaisse le coût de production des contenus, ce qui profite à un projet solo autant qu'à ses concurrents potentiels.</w:t>
      </w:r>
    </w:p>
    <w:p>
      <w:pPr>
        <w:pStyle w:val="ListParagraph"/>
        <w:numPr>
          <w:ilvl w:val="0"/>
          <w:numId w:val="1"/>
        </w:numPr>
        <w:spacing w:after="80" w:line="276"/>
        <w:jc w:val="both"/>
      </w:pPr>
      <w:r>
        <w:t xml:space="preserve">La méfiance croissante envers la collecte de données d'élèves fait de l'absence de collecte un argument autant qu'une contrainte de conformité.</w:t>
      </w:r>
    </w:p>
    <w:p>
      <w:pPr>
        <w:pStyle w:val="ListParagraph"/>
        <w:numPr>
          <w:ilvl w:val="0"/>
          <w:numId w:val="1"/>
        </w:numPr>
        <w:spacing w:after="80" w:line="276"/>
        <w:jc w:val="both"/>
      </w:pPr>
      <w:r>
        <w:t xml:space="preserve">L'exigence de sobriété numérique transforme un jeu léger et hors ligne en preuve de cohérence plutôt qu'en simple contrainte technique.</w:t>
      </w:r>
    </w:p>
    <w:p>
      <w:pPr>
        <w:pStyle w:val="ListParagraph"/>
        <w:numPr>
          <w:ilvl w:val="0"/>
          <w:numId w:val="1"/>
        </w:numPr>
        <w:spacing w:after="80" w:line="276"/>
        <w:jc w:val="both"/>
      </w:pPr>
      <w:r>
        <w:t xml:space="preserve">L'absence de modèle économique reste la fragilité principale : la gratuité facilite l'adoption mais ne finance ni la maintenance ni les évolutions.</w:t>
      </w:r>
    </w:p>
    <w:p>
      <w:pPr>
        <w:spacing w:before="160"/>
      </w:pPr>
    </w:p>
    <w:p>
      <w:pPr>
        <w:spacing w:after="160" w:line="276"/>
        <w:jc w:val="both"/>
      </w:pPr>
      <w:r>
        <w:rPr>
          <w:b/>
          <w:bCs/>
          <w:color w:val="1F3864"/>
        </w:rPr>
        <w:t xml:space="preserve">Point de vigilance. </w:t>
      </w:r>
      <w:r>
        <w:t xml:space="preserve">Ces chiffres proviennent de sources secondaires publiques et sectorielles, référencées en annexe. Aucune donnée primaire n'a encore été collectée à ce stade.</w:t>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4. La demande locale</w:t>
      </w:r>
    </w:p>
    <w:p>
      <w:pPr>
        <w:spacing w:after="160" w:line="276"/>
        <w:jc w:val="both"/>
      </w:pPr>
      <w:r>
        <w:t xml:space="preserve">L'utilisateur du jeu n'est pas celui qui décide de son adoption : un collégien ne choisit pas la ressource utilisée en classe. J'ai donc structuré la demande autour de trois profils, qui correspondent à des rôles différents dans la décision.</w:t>
      </w:r>
    </w:p>
    <w:p>
      <w:pPr>
        <w:pStyle w:val="ListParagraph"/>
        <w:numPr>
          <w:ilvl w:val="0"/>
          <w:numId w:val="1"/>
        </w:numPr>
        <w:spacing w:after="80" w:line="276"/>
        <w:jc w:val="both"/>
      </w:pPr>
      <w:r>
        <w:t xml:space="preserve">Les enseignants de collège, en priorité sciences de la vie et de la Terre, histoire-géographie et professeurs documentalistes. Ce sont les prescripteurs réels : sans eux, aucun accès aux élèves. Ils ont besoin d'une ressource prête à l'emploi, utilisable en une séance sans préparation lourde.</w:t>
      </w:r>
    </w:p>
    <w:p>
      <w:pPr>
        <w:pStyle w:val="ListParagraph"/>
        <w:numPr>
          <w:ilvl w:val="0"/>
          <w:numId w:val="1"/>
        </w:numPr>
        <w:spacing w:after="80" w:line="276"/>
        <w:jc w:val="both"/>
      </w:pPr>
      <w:r>
        <w:t xml:space="preserve">Les élèves de sixième et cinquième présentant un TND, bénéficiaires directs du projet. Ils ont besoin d'un contenu accessible sans stigmatisation, avec un paramétrage discret.</w:t>
      </w:r>
    </w:p>
    <w:p>
      <w:pPr>
        <w:pStyle w:val="ListParagraph"/>
        <w:numPr>
          <w:ilvl w:val="0"/>
          <w:numId w:val="1"/>
        </w:numPr>
        <w:spacing w:after="80" w:line="276"/>
        <w:jc w:val="both"/>
      </w:pPr>
      <w:r>
        <w:t xml:space="preserve">Les élèves de sixième et cinquième sans besoin spécifique, qui bénéficient des mêmes adaptations sans en avoir besoin, et dont l'adhésion valide que le format fonctionne comme un vrai récit et non comme un exercice déguisé.</w:t>
      </w:r>
    </w:p>
    <w:p>
      <w:pPr>
        <w:spacing w:before="160"/>
      </w:pPr>
    </w:p>
    <w:p>
      <w:pPr>
        <w:spacing w:after="160" w:line="276"/>
        <w:jc w:val="both"/>
      </w:pPr>
      <w:r>
        <w:rPr>
          <w:b/>
          <w:bCs/>
          <w:color w:val="1F3864"/>
        </w:rPr>
        <w:t xml:space="preserve">Avertissement méthodologique. </w:t>
      </w:r>
      <w:r>
        <w:t xml:space="preserve">Les profils ci-dessous sont des constructions fictives, élaborées à partir de la littérature disponible. Ils servent à structurer la conception, pas à documenter une enquête réelle.</w:t>
      </w:r>
    </w:p>
    <w:p>
      <w:pPr>
        <w:spacing w:after="120" w:before="240"/>
      </w:pPr>
      <w:r>
        <w:rPr>
          <w:rFonts w:ascii="Montserrat" w:cs="Montserrat" w:eastAsia="Montserrat" w:hAnsi="Montserrat"/>
          <w:b/>
          <w:bCs/>
          <w:color w:val="2E74B5"/>
          <w:sz w:val="24"/>
          <w:szCs w:val="24"/>
        </w:rPr>
        <w:t xml:space="preserve">Persona 1 — l'enseignante prescriptrice</w:t>
      </w:r>
    </w:p>
    <w:p>
      <w:pPr>
        <w:spacing w:after="160" w:line="276"/>
        <w:jc w:val="both"/>
      </w:pPr>
      <w:r>
        <w:t xml:space="preserve">Enseignante de SVT, dix ans d'ancienneté, quatre classes de cinquième. Objectif : traiter les enjeux environnementaux autrement qu'en cours magistral. Frein principal : ne veut pas perdre une séance à tester un outil qui pourrait ne pas fonctionner sur les postes de la salle.</w:t>
      </w:r>
    </w:p>
    <w:p>
      <w:pPr>
        <w:spacing w:after="120" w:before="240"/>
      </w:pPr>
      <w:r>
        <w:rPr>
          <w:rFonts w:ascii="Montserrat" w:cs="Montserrat" w:eastAsia="Montserrat" w:hAnsi="Montserrat"/>
          <w:b/>
          <w:bCs/>
          <w:color w:val="2E74B5"/>
          <w:sz w:val="24"/>
          <w:szCs w:val="24"/>
        </w:rPr>
        <w:t xml:space="preserve">Persona 2 — l'élève TND</w:t>
      </w:r>
    </w:p>
    <w:p>
      <w:pPr>
        <w:spacing w:after="160" w:line="276"/>
        <w:jc w:val="both"/>
      </w:pPr>
      <w:r>
        <w:t xml:space="preserve">Élève de sixième avec trouble spécifique du langage écrit, lecture lente et coûteuse. Objectif : suivre l'activité au même rythme que la classe. Frein principal : refuse tout dispositif qui le désigne visiblement comme différent.</w:t>
      </w:r>
    </w:p>
    <w:p>
      <w:pPr>
        <w:spacing w:after="120" w:before="240"/>
      </w:pPr>
      <w:r>
        <w:rPr>
          <w:rFonts w:ascii="Montserrat" w:cs="Montserrat" w:eastAsia="Montserrat" w:hAnsi="Montserrat"/>
          <w:b/>
          <w:bCs/>
          <w:color w:val="2E74B5"/>
          <w:sz w:val="24"/>
          <w:szCs w:val="24"/>
        </w:rPr>
        <w:t xml:space="preserve">Persona 3 — l'élève joueur régulier</w:t>
      </w:r>
    </w:p>
    <w:p>
      <w:pPr>
        <w:spacing w:after="160" w:line="276"/>
        <w:jc w:val="both"/>
      </w:pPr>
      <w:r>
        <w:t xml:space="preserve">Élève de cinquième, plusieurs heures de jeu par semaine, référentiel de qualité élevé. Objectif : s'amuser réellement. Frein principal : détecte immédiatement un contenu scolaire déguisé et s'en désengage.</w:t>
      </w:r>
    </w:p>
    <w:p>
      <w:pPr>
        <w:spacing w:after="120" w:before="240"/>
      </w:pPr>
      <w:r>
        <w:rPr>
          <w:rFonts w:ascii="Montserrat" w:cs="Montserrat" w:eastAsia="Montserrat" w:hAnsi="Montserrat"/>
          <w:b/>
          <w:bCs/>
          <w:color w:val="2E74B5"/>
          <w:sz w:val="24"/>
          <w:szCs w:val="24"/>
        </w:rPr>
        <w:t xml:space="preserve">Taille et valeur du marché local</w:t>
      </w:r>
    </w:p>
    <w:p>
      <w:pPr>
        <w:spacing w:after="160" w:line="276"/>
        <w:jc w:val="both"/>
      </w:pPr>
      <w:r>
        <w:t xml:space="preserve">En partant des effectifs de sixième et cinquième (environ 1,6 million d'élèves), puis en appliquant le repère public d'une personne sur six concernée par un TND, le sous-ensemble TND atteignable représente environ 265 000 élèves. En prenant une hypothèse de diffusion réaliste pour un projet solo sans budget de communication, quarante établissements touchés la première année, deux classes par établissement, cela donne environ 2 000 élèves ayant joué au moins un chapitre. Ce chiffre pourrait atteindre 20 000 élèves à trois ans si une version navigateur et au moins une caution externe (association TND, portail éducatif) sont obtenues, sinon il doit être ramené à un ordre de grandeur de 5 000.</w:t>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5. L'offre concurrentielle</w:t>
      </w:r>
    </w:p>
    <w:p>
      <w:pPr>
        <w:spacing w:after="160" w:line="276"/>
        <w:jc w:val="both"/>
      </w:pPr>
      <w:r>
        <w:t xml:space="preserve">Aucun des acteurs recensés ne combine les quatre attributs que Nova Graph revendique : récit interactif, thème écologique, accessibilité TND, gratuité. Le tableau ci-dessous compare les concurrents les plus proches sur ces critères.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Acteur</w:t>
            </w:r>
          </w:p>
        </w:tc>
        <w:tc>
          <w:tcPr>
            <w:tcW w:type="dxa" w:w="1700"/>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Récit interactif</w:t>
            </w:r>
          </w:p>
        </w:tc>
        <w:tc>
          <w:tcPr>
            <w:tcW w:type="dxa" w:w="1700"/>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Thème écologique</w:t>
            </w:r>
          </w:p>
        </w:tc>
        <w:tc>
          <w:tcPr>
            <w:tcW w:type="dxa" w:w="1700"/>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Accessibilité TND</w:t>
            </w:r>
          </w:p>
        </w:tc>
        <w:tc>
          <w:tcPr>
            <w:tcW w:type="dxa" w:w="1526"/>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Gratuité</w:t>
            </w:r>
          </w:p>
        </w:tc>
      </w:tr>
      <w:tr>
        <w:tc>
          <w:tcPr>
            <w:tcW w:type="dxa" w:w="24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Ecoville</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Non</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Oui</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Non</w:t>
            </w:r>
          </w:p>
        </w:tc>
        <w:tc>
          <w:tcPr>
            <w:tcW w:type="dxa" w:w="1526"/>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Oui</w:t>
            </w:r>
          </w:p>
        </w:tc>
      </w:tr>
      <w:tr>
        <w:tc>
          <w:tcPr>
            <w:tcW w:type="dxa" w:w="24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Clim'City</w:t>
            </w:r>
          </w:p>
        </w:tc>
        <w:tc>
          <w:tcPr>
            <w:tcW w:type="dxa" w:w="17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Non</w:t>
            </w:r>
          </w:p>
        </w:tc>
        <w:tc>
          <w:tcPr>
            <w:tcW w:type="dxa" w:w="17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Oui</w:t>
            </w:r>
          </w:p>
        </w:tc>
        <w:tc>
          <w:tcPr>
            <w:tcW w:type="dxa" w:w="17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Non</w:t>
            </w:r>
          </w:p>
        </w:tc>
        <w:tc>
          <w:tcPr>
            <w:tcW w:type="dxa" w:w="1526"/>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Oui</w:t>
            </w:r>
          </w:p>
        </w:tc>
      </w:tr>
      <w:tr>
        <w:tc>
          <w:tcPr>
            <w:tcW w:type="dxa" w:w="24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Vinz et Lou</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Partielle</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Partielle</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Non</w:t>
            </w:r>
          </w:p>
        </w:tc>
        <w:tc>
          <w:tcPr>
            <w:tcW w:type="dxa" w:w="1526"/>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Oui</w:t>
            </w:r>
          </w:p>
        </w:tc>
      </w:tr>
      <w:tr>
        <w:tc>
          <w:tcPr>
            <w:tcW w:type="dxa" w:w="24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Mobidys</w:t>
            </w:r>
          </w:p>
        </w:tc>
        <w:tc>
          <w:tcPr>
            <w:tcW w:type="dxa" w:w="17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Non</w:t>
            </w:r>
          </w:p>
        </w:tc>
        <w:tc>
          <w:tcPr>
            <w:tcW w:type="dxa" w:w="17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Non</w:t>
            </w:r>
          </w:p>
        </w:tc>
        <w:tc>
          <w:tcPr>
            <w:tcW w:type="dxa" w:w="1700"/>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Oui</w:t>
            </w:r>
          </w:p>
        </w:tc>
        <w:tc>
          <w:tcPr>
            <w:tcW w:type="dxa" w:w="1526"/>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Non</w:t>
            </w:r>
          </w:p>
        </w:tc>
      </w:tr>
      <w:tr>
        <w:tc>
          <w:tcPr>
            <w:tcW w:type="dxa" w:w="24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Nova Graph</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Oui</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Oui</w:t>
            </w:r>
          </w:p>
        </w:tc>
        <w:tc>
          <w:tcPr>
            <w:tcW w:type="dxa" w:w="1700"/>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Oui</w:t>
            </w:r>
          </w:p>
        </w:tc>
        <w:tc>
          <w:tcPr>
            <w:tcW w:type="dxa" w:w="1526"/>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Oui</w:t>
            </w:r>
          </w:p>
        </w:tc>
      </w:tr>
    </w:tbl>
    <w:p>
      <w:pPr>
        <w:spacing w:after="160" w:before="160"/>
        <w:jc w:val="both"/>
      </w:pPr>
      <w:r>
        <w:t xml:space="preserve">Le meilleur score parmi les concurrents est de deux attributs sur quatre. Ecoville et Clim'City sont les plus proches sur le thème et la gratuité, mais reposent sur des mécaniques de simulation, sans personnage ni choix moral incarné, et sans conception pensée pour les profils TND. Mobidys est l'acteur à surveiller de près : il détient l'expertise accessibilité la plus crédible du marché, et pourrait occuper le positionnement de Nova Graph s'il élargissait son catalogue vers l'environnement.</w:t>
      </w:r>
    </w:p>
    <w:p>
      <w:pPr>
        <w:spacing w:after="120" w:before="240"/>
      </w:pPr>
      <w:r>
        <w:rPr>
          <w:rFonts w:ascii="Montserrat" w:cs="Montserrat" w:eastAsia="Montserrat" w:hAnsi="Montserrat"/>
          <w:b/>
          <w:bCs/>
          <w:color w:val="2E74B5"/>
          <w:sz w:val="24"/>
          <w:szCs w:val="24"/>
        </w:rPr>
        <w:t xml:space="preserve">Facteurs de succès identifiés</w:t>
      </w:r>
    </w:p>
    <w:p>
      <w:pPr>
        <w:pStyle w:val="ListParagraph"/>
        <w:numPr>
          <w:ilvl w:val="0"/>
          <w:numId w:val="1"/>
        </w:numPr>
        <w:spacing w:after="80" w:line="276"/>
        <w:jc w:val="both"/>
      </w:pPr>
      <w:r>
        <w:t xml:space="preserve">Une version fonctionnant en navigateur, sans installation ni compte</w:t>
      </w:r>
    </w:p>
    <w:p>
      <w:pPr>
        <w:pStyle w:val="ListParagraph"/>
        <w:numPr>
          <w:ilvl w:val="0"/>
          <w:numId w:val="1"/>
        </w:numPr>
        <w:spacing w:after="80" w:line="276"/>
        <w:jc w:val="both"/>
      </w:pPr>
      <w:r>
        <w:t xml:space="preserve">Une accessibilité documentée et non simplement affirmée</w:t>
      </w:r>
    </w:p>
    <w:p>
      <w:pPr>
        <w:pStyle w:val="ListParagraph"/>
        <w:numPr>
          <w:ilvl w:val="0"/>
          <w:numId w:val="1"/>
        </w:numPr>
        <w:spacing w:after="80" w:line="276"/>
        <w:jc w:val="both"/>
      </w:pPr>
      <w:r>
        <w:t xml:space="preserve">Une caution externe (association TND, portail éducatif reconnu)</w:t>
      </w:r>
    </w:p>
    <w:p>
      <w:pPr>
        <w:pStyle w:val="ListParagraph"/>
        <w:numPr>
          <w:ilvl w:val="0"/>
          <w:numId w:val="1"/>
        </w:numPr>
        <w:spacing w:after="80" w:line="276"/>
        <w:jc w:val="both"/>
      </w:pPr>
      <w:r>
        <w:t xml:space="preserve">Un contenu qui ne ressemble pas à un exercice scolaire déguisé</w:t>
      </w:r>
    </w:p>
    <w:p>
      <w:pPr>
        <w:pStyle w:val="ListParagraph"/>
        <w:numPr>
          <w:ilvl w:val="0"/>
          <w:numId w:val="1"/>
        </w:numPr>
        <w:spacing w:after="80" w:line="276"/>
        <w:jc w:val="both"/>
      </w:pPr>
      <w:r>
        <w:t xml:space="preserve">Une exécution soignée sur un périmètre étroit plutôt qu'une couverture large</w:t>
      </w:r>
    </w:p>
    <w:p>
      <w:pPr>
        <w:spacing w:before="160"/>
      </w:pPr>
    </w:p>
    <w:p>
      <w:pPr>
        <w:spacing w:after="120" w:before="240"/>
      </w:pPr>
      <w:r>
        <w:rPr>
          <w:rFonts w:ascii="Montserrat" w:cs="Montserrat" w:eastAsia="Montserrat" w:hAnsi="Montserrat"/>
          <w:b/>
          <w:bCs/>
          <w:color w:val="2E74B5"/>
          <w:sz w:val="24"/>
          <w:szCs w:val="24"/>
        </w:rPr>
        <w:t xml:space="preserve">Avantages concurrentiels de Nova Graph</w:t>
      </w:r>
    </w:p>
    <w:p>
      <w:pPr>
        <w:pStyle w:val="ListParagraph"/>
        <w:numPr>
          <w:ilvl w:val="0"/>
          <w:numId w:val="1"/>
        </w:numPr>
        <w:spacing w:after="80" w:line="276"/>
        <w:jc w:val="both"/>
      </w:pPr>
      <w:r>
        <w:t xml:space="preserve">Positionnement inédit, documenté par l'absence de concurrent combinant les quatre attributs</w:t>
      </w:r>
    </w:p>
    <w:p>
      <w:pPr>
        <w:pStyle w:val="ListParagraph"/>
        <w:numPr>
          <w:ilvl w:val="0"/>
          <w:numId w:val="1"/>
        </w:numPr>
        <w:spacing w:after="80" w:line="276"/>
        <w:jc w:val="both"/>
      </w:pPr>
      <w:r>
        <w:t xml:space="preserve">Accessibilité intégrée dès la conception, pas ajoutée après coup</w:t>
      </w:r>
    </w:p>
    <w:p>
      <w:pPr>
        <w:pStyle w:val="ListParagraph"/>
        <w:numPr>
          <w:ilvl w:val="0"/>
          <w:numId w:val="1"/>
        </w:numPr>
        <w:spacing w:after="80" w:line="276"/>
        <w:jc w:val="both"/>
      </w:pPr>
      <w:r>
        <w:t xml:space="preserve">Aucune collecte de données personnelles, qui simplifie la conformité et rassure les établissements</w:t>
      </w:r>
    </w:p>
    <w:p>
      <w:pPr>
        <w:pStyle w:val="ListParagraph"/>
        <w:numPr>
          <w:ilvl w:val="0"/>
          <w:numId w:val="1"/>
        </w:numPr>
        <w:spacing w:after="80" w:line="276"/>
        <w:jc w:val="both"/>
      </w:pPr>
      <w:r>
        <w:t xml:space="preserve">Ancrage théorique explicite (charge cognitive, design universel de l'apprentissage)</w:t>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6. Partenaires</w:t>
      </w:r>
    </w:p>
    <w:p>
      <w:pPr>
        <w:spacing w:after="160" w:line="276"/>
        <w:jc w:val="both"/>
      </w:pPr>
      <w:r>
        <w:t xml:space="preserve">Nova Graph étant un projet solo sans budget, les partenaires ne sont pas des fournisseurs à négocier mais des relais qui compensent l'absence de moyens et de notoriété.</w:t>
      </w:r>
    </w:p>
    <w:p>
      <w:pPr>
        <w:spacing w:after="160" w:line="276"/>
        <w:jc w:val="both"/>
      </w:pPr>
      <w:r>
        <w:t xml:space="preserve">Les réseaux professionnels enseignants sont le premier relais de diffusion : c'est par eux que les quarante premiers établissements seront atteints, sans aucun coût de communication. Un enseignant convaincu en recommande rarement plus d'un ou deux collègues à la fois, mais c'est ce bouche-à-oreille qui a permis d'estimer le SOM de la première année.</w:t>
      </w:r>
    </w:p>
    <w:p>
      <w:pPr>
        <w:spacing w:after="160" w:line="276"/>
        <w:jc w:val="both"/>
      </w:pPr>
      <w:r>
        <w:t xml:space="preserve">Les associations spécialisées TND (orthophonistes, coordonnateurs d'unité localisée pour l'inclusion scolaire) apportent une caution que je ne peux pas produire seule. Leur recommandation légitime les choix de conception auprès des établissements et des parents, et constitue l'une des deux conditions identifiées pour que le SOM à trois ans atteigne 20 000 élèves plutôt que 5 000.</w:t>
      </w:r>
    </w:p>
    <w:p>
      <w:pPr>
        <w:spacing w:after="160" w:line="276"/>
        <w:jc w:val="both"/>
      </w:pPr>
      <w:r>
        <w:t xml:space="preserve">Les portails éducatifs institutionnels (Éduthèque, réseau Canopé, Lumni) représentent le levier de diffusion le plus rentable à coût nul. Un référencement sur l'un d'eux change l'échelle de diffusion sans nécessiter de budget marketing, puisque ce sont les points d'entrée réflexes des enseignants en recherche de ressources.</w:t>
      </w:r>
    </w:p>
    <w:p>
      <w:pPr>
        <w:spacing w:after="160" w:line="276"/>
        <w:jc w:val="both"/>
      </w:pPr>
      <w:r>
        <w:t xml:space="preserve">Les structures associatives d'éducation à l'environnement, plus opportunistes, peuvent activer un canal de diffusion hors cadre scolaire si la diffusion en établissement rencontre un blocage durable.</w:t>
      </w:r>
    </w:p>
    <w:p>
      <w:pPr>
        <w:pStyle w:val="Heading1"/>
        <w:pBdr>
          <w:bottom w:val="single" w:color="2E74B5" w:sz="8" w:space="4"/>
        </w:pBdr>
        <w:spacing w:after="200" w:before="320"/>
      </w:pPr>
      <w:r>
        <w:rPr>
          <w:rFonts w:ascii="Montserrat" w:cs="Montserrat" w:eastAsia="Montserrat" w:hAnsi="Montserrat"/>
          <w:b/>
          <w:bCs/>
          <w:color w:val="1F3864"/>
          <w:sz w:val="32"/>
          <w:szCs w:val="32"/>
        </w:rPr>
        <w:t xml:space="preserve">7. Conclusion</w:t>
      </w:r>
    </w:p>
    <w:p>
      <w:pPr>
        <w:spacing w:after="160" w:line="276"/>
        <w:jc w:val="both"/>
      </w:pPr>
      <w:r>
        <w:t xml:space="preserve">L'analyse SWOT synthétise les enseignements des parties précédentes. Les forces et faiblesses relèvent du projet et sont donc actionnables ; les opportunités et menaces relèvent de l'environnement et ne peuvent qu'être anticipées.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Forces</w:t>
            </w:r>
          </w:p>
        </w:tc>
        <w:tc>
          <w:tcPr>
            <w:tcW w:type="dxa" w:w="4513"/>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Faiblesses</w:t>
            </w:r>
          </w:p>
        </w:tc>
      </w:tr>
      <w:tr>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Positionnement unique documenté, aucun concurrent ne combine les quatre attributs</w:t>
            </w:r>
          </w:p>
        </w:tc>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Projet porté par une seule personne, ce qui limite la capacité de production</w:t>
            </w:r>
          </w:p>
        </w:tc>
      </w:tr>
      <w:tr>
        <w:tc>
          <w:tcPr>
            <w:tcW w:type="dxa" w:w="4513"/>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Gratuité totale, qui lève le principal frein d'adoption en contexte budgétaire contraint</w:t>
            </w:r>
          </w:p>
        </w:tc>
        <w:tc>
          <w:tcPr>
            <w:tcW w:type="dxa" w:w="4513"/>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Absence de modèle économique, donc de financement de la maintenance</w:t>
            </w:r>
          </w:p>
        </w:tc>
      </w:tr>
      <w:tr>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Accessibilité intégrée dès la conception</w:t>
            </w:r>
          </w:p>
        </w:tc>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Aucune donnée primaire collectée à ce stade</w:t>
            </w:r>
          </w:p>
        </w:tc>
      </w:tr>
      <w:tr>
        <w:tc>
          <w:tcPr>
            <w:tcW w:type="dxa" w:w="4513"/>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Aucune collecte de données personnelles</w:t>
            </w:r>
          </w:p>
        </w:tc>
        <w:tc>
          <w:tcPr>
            <w:tcW w:type="dxa" w:w="4513"/>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Aucune notoriété ni caution institutionnelle</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Opportunités</w:t>
            </w:r>
          </w:p>
        </w:tc>
        <w:tc>
          <w:tcPr>
            <w:tcW w:type="dxa" w:w="4513"/>
            <w:tcBorders>
              <w:top w:val="single" w:color="BFD4E8" w:sz="2"/>
              <w:left w:val="single" w:color="BFD4E8" w:sz="2"/>
              <w:bottom w:val="single" w:color="BFD4E8" w:sz="2"/>
              <w:right w:val="single" w:color="BFD4E8" w:sz="2"/>
            </w:tcBorders>
            <w:shd w:fill="1F3864" w:color="auto" w:val="clear"/>
            <w:tcMar>
              <w:top w:type="dxa" w:w="60"/>
              <w:left w:type="dxa" w:w="90"/>
              <w:bottom w:type="dxa" w:w="60"/>
              <w:right w:type="dxa" w:w="90"/>
            </w:tcMar>
            <w:vAlign w:val="center"/>
          </w:tcPr>
          <w:p>
            <w:r>
              <w:rPr>
                <w:b/>
                <w:bCs/>
                <w:color w:val="FFFFFF"/>
              </w:rPr>
              <w:t xml:space="preserve">Menaces</w:t>
            </w:r>
          </w:p>
        </w:tc>
      </w:tr>
      <w:tr>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Convergence temporaire des priorités inclusion TND et éducation à l'environnement</w:t>
            </w:r>
          </w:p>
        </w:tc>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Entrée d'un acteur établi de l'accessibilité (Mobidys) sur le créneau environnemental</w:t>
            </w:r>
          </w:p>
        </w:tc>
      </w:tr>
      <w:tr>
        <w:tc>
          <w:tcPr>
            <w:tcW w:type="dxa" w:w="4513"/>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Faiblesse commune des concurrents sur la forme narrative et l'accessibilité</w:t>
            </w:r>
          </w:p>
        </w:tc>
        <w:tc>
          <w:tcPr>
            <w:tcW w:type="dxa" w:w="4513"/>
            <w:tcBorders>
              <w:top w:val="single" w:color="BFD4E8" w:sz="2"/>
              <w:left w:val="single" w:color="BFD4E8" w:sz="2"/>
              <w:bottom w:val="single" w:color="BFD4E8" w:sz="2"/>
              <w:right w:val="single" w:color="BFD4E8" w:sz="2"/>
            </w:tcBorders>
            <w:shd w:fill="FFFFFF" w:color="auto" w:val="clear"/>
            <w:tcMar>
              <w:top w:type="dxa" w:w="60"/>
              <w:left w:type="dxa" w:w="90"/>
              <w:bottom w:type="dxa" w:w="60"/>
              <w:right w:type="dxa" w:w="90"/>
            </w:tcMar>
          </w:tcPr>
          <w:p>
            <w:r>
              <w:t xml:space="preserve">Hétérogénéité du parc matériel des établissements, risque de blocage technique</w:t>
            </w:r>
          </w:p>
        </w:tc>
      </w:tr>
      <w:tr>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Référencement possible sur un portail éducatif à forte audience</w:t>
            </w:r>
          </w:p>
        </w:tc>
        <w:tc>
          <w:tcPr>
            <w:tcW w:type="dxa" w:w="4513"/>
            <w:tcBorders>
              <w:top w:val="single" w:color="BFD4E8" w:sz="2"/>
              <w:left w:val="single" w:color="BFD4E8" w:sz="2"/>
              <w:bottom w:val="single" w:color="BFD4E8" w:sz="2"/>
              <w:right w:val="single" w:color="BFD4E8" w:sz="2"/>
            </w:tcBorders>
            <w:shd w:fill="EAF1F9" w:color="auto" w:val="clear"/>
            <w:tcMar>
              <w:top w:type="dxa" w:w="60"/>
              <w:left w:type="dxa" w:w="90"/>
              <w:bottom w:type="dxa" w:w="60"/>
              <w:right w:type="dxa" w:w="90"/>
            </w:tcMar>
          </w:tcPr>
          <w:p>
            <w:r>
              <w:t xml:space="preserve">Absence de validation de la demande par des données primaires</w:t>
            </w:r>
          </w:p>
        </w:tc>
      </w:tr>
    </w:tbl>
    <w:p>
      <w:pPr>
        <w:spacing w:before="200"/>
      </w:pPr>
    </w:p>
    <w:p>
      <w:pPr>
        <w:spacing w:after="160" w:line="276"/>
        <w:jc w:val="both"/>
      </w:pPr>
      <w:r>
        <w:t xml:space="preserve">Trois enjeux ressortent avec un niveau de criticité élevé. La soutenabilité économique du projet reste sans réponse à ce stade et devra être instruite au Livrable 5. La validation de la demande par des données primaires n'a pas encore commencé, alors que c'est elle qui distingue une intuition d'un besoin démontré. Enfin, la contrainte technique du parc informatique impose déjà une décision de conception non négociable : une version navigateur, sans installation ni compte.</w:t>
      </w:r>
    </w:p>
    <w:p>
      <w:pPr>
        <w:spacing w:after="160" w:line="276"/>
        <w:jc w:val="both"/>
      </w:pPr>
      <w:r>
        <w:t xml:space="preserve">Cette étude confirme que l'espace de marché supposé par Nova Graph existe et qu'il est précis, mais que sa taille reste modeste et sa validation encore incomplète. C'est cette cohérence, plutôt qu'une promesse de volume, qui rend la suite du projet défendable.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Mégane Milville, Master 1 Direction de la communication digitale, Laho Formation</w:t>
    </w:r>
    <w:r>
      <w:ptab w:alignment="right" w:relativeTo="margin" w:leader="none"/>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2026-08-19T13:33:27.598Z</dcterms:created>
  <dcterms:modified xsi:type="dcterms:W3CDTF">2026-08-19T13:33:27.598Z</dcterms:modified>
</cp:coreProperties>
</file>

<file path=docProps/custom.xml><?xml version="1.0" encoding="utf-8"?>
<Properties xmlns="http://schemas.openxmlformats.org/officeDocument/2006/custom-properties" xmlns:vt="http://schemas.openxmlformats.org/officeDocument/2006/docPropsVTypes"/>
</file>