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0"/>
        <w:jc w:val="center"/>
      </w:pPr>
      <w:r>
        <w:rPr>
          <w:rFonts w:ascii="Montserrat" w:cs="Montserrat" w:eastAsia="Montserrat" w:hAnsi="Montserrat"/>
          <w:color w:val="BCBEC0"/>
          <w:sz w:val="20"/>
          <w:szCs w:val="20"/>
        </w:rPr>
        <w:t xml:space="preserve">[ Page de garde ]</w:t>
      </w:r>
    </w:p>
    <w:p>
      <w:r>
        <w:br w:type="page"/>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300"/>
        <w:gridCol w:w="7106"/>
      </w:tblGrid>
      <w:tr>
        <w:trPr>
          <w:trHeight w:val="13338" w:hRule="atLeast"/>
        </w:trPr>
        <w:tc>
          <w:tcPr>
            <w:tcW w:type="dxa" w:w="2300"/>
            <w:tcBorders>
              <w:top w:val="none" w:color="auto" w:sz="0"/>
              <w:left w:val="none" w:color="auto" w:sz="0"/>
              <w:bottom w:val="none" w:color="auto" w:sz="0"/>
              <w:right w:val="none" w:color="auto" w:sz="0"/>
            </w:tcBorders>
            <w:shd w:fill="A7C1CB" w:color="auto" w:val="clear"/>
            <w:tcMar>
              <w:top w:type="dxa" w:w="500"/>
              <w:left w:type="dxa" w:w="300"/>
              <w:right w:type="dxa" w:w="300"/>
            </w:tcMar>
          </w:tcPr>
          <w:p>
            <w:pPr>
              <w:spacing w:after="0" w:line="276"/>
            </w:pPr>
            <w:r>
              <w:rPr>
                <w:rFonts w:ascii="Oswald" w:cs="Oswald" w:eastAsia="Oswald" w:hAnsi="Oswald"/>
                <w:color w:val="173347"/>
                <w:sz w:val="26"/>
                <w:szCs w:val="26"/>
                <w:u w:val="single"/>
              </w:rPr>
              <w:t xml:space="preserve">Les Gardiens du Monde</w:t>
            </w:r>
          </w:p>
          <w:p>
            <w:pPr>
              <w:spacing w:after="0" w:line="276"/>
            </w:pPr>
            <w:r>
              <w:rPr>
                <w:rFonts w:ascii="Oswald" w:cs="Oswald" w:eastAsia="Oswald" w:hAnsi="Oswald"/>
                <w:color w:val="173347"/>
                <w:sz w:val="26"/>
                <w:szCs w:val="26"/>
                <w:u w:val="single"/>
              </w:rPr>
              <w:t xml:space="preserve">Étude de marché</w:t>
            </w:r>
          </w:p>
          <w:p>
            <w:pPr>
              <w:spacing w:after="0" w:before="200" w:line="264"/>
            </w:pPr>
            <w:r>
              <w:rPr>
                <w:rFonts w:ascii="Montserrat" w:cs="Montserrat" w:eastAsia="Montserrat" w:hAnsi="Montserrat"/>
                <w:b/>
                <w:bCs/>
                <w:color w:val="173347"/>
                <w:sz w:val="14"/>
                <w:szCs w:val="14"/>
              </w:rPr>
              <w:t xml:space="preserve">Sprint 2 · Livrable 3</w:t>
            </w:r>
          </w:p>
        </w:tc>
        <w:tc>
          <w:tcPr>
            <w:tcW w:type="dxa" w:w="7106"/>
            <w:tcBorders>
              <w:top w:val="none" w:color="auto" w:sz="0"/>
              <w:left w:val="none" w:color="auto" w:sz="0"/>
              <w:bottom w:val="none" w:color="auto" w:sz="0"/>
              <w:right w:val="none" w:color="auto" w:sz="0"/>
            </w:tcBorders>
            <w:tcMar>
              <w:top w:type="dxa" w:w="500"/>
              <w:left w:type="dxa" w:w="500"/>
            </w:tcMar>
          </w:tcPr>
          <w:p>
            <w:pPr>
              <w:spacing w:after="0" w:line="720" w:lineRule="exact"/>
            </w:pPr>
            <w:r>
              <w:rPr>
                <w:rFonts w:ascii="Oswald ExtraLight" w:cs="Oswald ExtraLight" w:eastAsia="Oswald ExtraLight" w:hAnsi="Oswald ExtraLight"/>
                <w:color w:val="173347"/>
                <w:sz w:val="60"/>
                <w:szCs w:val="60"/>
              </w:rPr>
              <w:t xml:space="preserve">ÉTUDE DE MARCHÉ</w:t>
            </w:r>
          </w:p>
          <w:p>
            <w:pPr>
              <w:spacing w:after="500" w:line="1100" w:lineRule="exact"/>
            </w:pPr>
            <w:r>
              <w:rPr>
                <w:rFonts w:ascii="Oswald" w:cs="Oswald" w:eastAsia="Oswald" w:hAnsi="Oswald"/>
                <w:b/>
                <w:bCs/>
                <w:color w:val="173347"/>
                <w:sz w:val="96"/>
                <w:szCs w:val="96"/>
              </w:rPr>
              <w:t xml:space="preserve">SOMMAIRE</w:t>
            </w:r>
          </w:p>
          <w:tbl>
            <w:tblPr>
              <w:tblW w:type="dxa" w:w="6606"/>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5706"/>
            </w:tblGrid>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chap_0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3</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Montserrat" w:cs="Montserrat" w:eastAsia="Montserrat" w:hAnsi="Montserrat"/>
                      <w:b/>
                      <w:bCs/>
                      <w:color w:val="173347"/>
                      <w:spacing w:val="10"/>
                      <w:sz w:val="18"/>
                      <w:szCs w:val="18"/>
                    </w:rPr>
                    <w:t xml:space="preserve">INTRODUCTION À L'ÉTUDE</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chap_1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4</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01   </w:t>
                  </w:r>
                  <w:r>
                    <w:rPr>
                      <w:rFonts w:ascii="Montserrat" w:cs="Montserrat" w:eastAsia="Montserrat" w:hAnsi="Montserrat"/>
                      <w:b/>
                      <w:bCs/>
                      <w:color w:val="173347"/>
                      <w:spacing w:val="10"/>
                      <w:sz w:val="18"/>
                      <w:szCs w:val="18"/>
                    </w:rPr>
                    <w:t xml:space="preserve">ANALYSER LE MARCHÉ</w:t>
                  </w:r>
                </w:p>
                <w:p>
                  <w:pPr>
                    <w:spacing w:after="0" w:line="252"/>
                  </w:pPr>
                  <w:r>
                    <w:rPr>
                      <w:rFonts w:ascii="Montserrat" w:cs="Montserrat" w:eastAsia="Montserrat" w:hAnsi="Montserrat"/>
                      <w:color w:val="7F7F7F"/>
                      <w:sz w:val="13"/>
                      <w:szCs w:val="13"/>
                    </w:rPr>
                    <w:t xml:space="preserve">La définition du marché  ·  La taille du marché  ·  L'évolution du marché  ·  Les grandes tendances</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chap_2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5</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02   </w:t>
                  </w:r>
                  <w:r>
                    <w:rPr>
                      <w:rFonts w:ascii="Montserrat" w:cs="Montserrat" w:eastAsia="Montserrat" w:hAnsi="Montserrat"/>
                      <w:b/>
                      <w:bCs/>
                      <w:color w:val="173347"/>
                      <w:spacing w:val="10"/>
                      <w:sz w:val="18"/>
                      <w:szCs w:val="18"/>
                    </w:rPr>
                    <w:t xml:space="preserve">ANALYSER LA DEMANDE</w:t>
                  </w:r>
                </w:p>
                <w:p>
                  <w:pPr>
                    <w:spacing w:after="0" w:line="252"/>
                  </w:pPr>
                  <w:r>
                    <w:rPr>
                      <w:rFonts w:ascii="Montserrat" w:cs="Montserrat" w:eastAsia="Montserrat" w:hAnsi="Montserrat"/>
                      <w:color w:val="7F7F7F"/>
                      <w:sz w:val="13"/>
                      <w:szCs w:val="13"/>
                    </w:rPr>
                    <w:t xml:space="preserve">La cible  ·  Le besoin réel  ·  Les motivations  ·  Les freins  ·  Les recommandations institutionnelles  ·  Le jeu comme médiation professionnelle  ·  Le parcours de décision  ·  Le comportement d'achat  ·  L'étude terrain</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chap_3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8</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03   </w:t>
                  </w:r>
                  <w:r>
                    <w:rPr>
                      <w:rFonts w:ascii="Montserrat" w:cs="Montserrat" w:eastAsia="Montserrat" w:hAnsi="Montserrat"/>
                      <w:b/>
                      <w:bCs/>
                      <w:color w:val="173347"/>
                      <w:spacing w:val="10"/>
                      <w:sz w:val="18"/>
                      <w:szCs w:val="18"/>
                    </w:rPr>
                    <w:t xml:space="preserve">ANALYSER L'OFFRE ET LA CONCURRENCE</w:t>
                  </w:r>
                </w:p>
                <w:p>
                  <w:pPr>
                    <w:spacing w:after="0" w:line="252"/>
                  </w:pPr>
                  <w:r>
                    <w:rPr>
                      <w:rFonts w:ascii="Montserrat" w:cs="Montserrat" w:eastAsia="Montserrat" w:hAnsi="Montserrat"/>
                      <w:color w:val="7F7F7F"/>
                      <w:sz w:val="13"/>
                      <w:szCs w:val="13"/>
                    </w:rPr>
                    <w:t xml:space="preserve">Les positionnements en présence  ·  Les alternatives réelles de l'enseignant  ·  Forces, faiblesses et différenciation</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chap_4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10</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Oswald" w:cs="Oswald" w:eastAsia="Oswald" w:hAnsi="Oswald"/>
                      <w:color w:val="87ADBA"/>
                      <w:sz w:val="22"/>
                      <w:szCs w:val="22"/>
                    </w:rPr>
                    <w:t xml:space="preserve">04   </w:t>
                  </w:r>
                  <w:r>
                    <w:rPr>
                      <w:rFonts w:ascii="Montserrat" w:cs="Montserrat" w:eastAsia="Montserrat" w:hAnsi="Montserrat"/>
                      <w:b/>
                      <w:bCs/>
                      <w:color w:val="173347"/>
                      <w:spacing w:val="10"/>
                      <w:sz w:val="18"/>
                      <w:szCs w:val="18"/>
                    </w:rPr>
                    <w:t xml:space="preserve">ANALYSER L'ENVIRONNEMENT</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chap_5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11</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05   </w:t>
                  </w:r>
                  <w:r>
                    <w:rPr>
                      <w:rFonts w:ascii="Montserrat" w:cs="Montserrat" w:eastAsia="Montserrat" w:hAnsi="Montserrat"/>
                      <w:b/>
                      <w:bCs/>
                      <w:color w:val="173347"/>
                      <w:spacing w:val="10"/>
                      <w:sz w:val="18"/>
                      <w:szCs w:val="18"/>
                    </w:rPr>
                    <w:t xml:space="preserve">IDENTIFIER L'OPPORTUNITÉ</w:t>
                  </w:r>
                </w:p>
                <w:p>
                  <w:pPr>
                    <w:spacing w:after="0" w:line="252"/>
                  </w:pPr>
                  <w:r>
                    <w:rPr>
                      <w:rFonts w:ascii="Montserrat" w:cs="Montserrat" w:eastAsia="Montserrat" w:hAnsi="Montserrat"/>
                      <w:color w:val="7F7F7F"/>
                      <w:sz w:val="13"/>
                      <w:szCs w:val="13"/>
                    </w:rPr>
                    <w:t xml:space="preserve">La pertinence du format  ·  Le SWOT</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chap_6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13</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06   </w:t>
                  </w:r>
                  <w:r>
                    <w:rPr>
                      <w:rFonts w:ascii="Montserrat" w:cs="Montserrat" w:eastAsia="Montserrat" w:hAnsi="Montserrat"/>
                      <w:b/>
                      <w:bCs/>
                      <w:color w:val="173347"/>
                      <w:spacing w:val="10"/>
                      <w:sz w:val="18"/>
                      <w:szCs w:val="18"/>
                    </w:rPr>
                    <w:t xml:space="preserve">FORMULER LES RECOMMANDATIONS</w:t>
                  </w:r>
                </w:p>
                <w:p>
                  <w:pPr>
                    <w:spacing w:after="0" w:line="252"/>
                  </w:pPr>
                  <w:r>
                    <w:rPr>
                      <w:rFonts w:ascii="Montserrat" w:cs="Montserrat" w:eastAsia="Montserrat" w:hAnsi="Montserrat"/>
                      <w:color w:val="7F7F7F"/>
                      <w:sz w:val="13"/>
                      <w:szCs w:val="13"/>
                    </w:rPr>
                    <w:t xml:space="preserve">La cible prioritaire  ·  L'offre et le positionnement  ·  Le prix  ·  Une limite du modèle de paliers  ·  Les canaux et la communication  ·  Les conditions de réussite et les risques  ·  Le dimensionnement et le chiffre d'affaires</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chap_7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15</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40"/>
                  </w:pPr>
                  <w:r>
                    <w:rPr>
                      <w:rFonts w:ascii="Oswald" w:cs="Oswald" w:eastAsia="Oswald" w:hAnsi="Oswald"/>
                      <w:color w:val="87ADBA"/>
                      <w:sz w:val="22"/>
                      <w:szCs w:val="22"/>
                    </w:rPr>
                    <w:t xml:space="preserve">07   </w:t>
                  </w:r>
                  <w:r>
                    <w:rPr>
                      <w:rFonts w:ascii="Montserrat" w:cs="Montserrat" w:eastAsia="Montserrat" w:hAnsi="Montserrat"/>
                      <w:b/>
                      <w:bCs/>
                      <w:color w:val="173347"/>
                      <w:spacing w:val="10"/>
                      <w:sz w:val="18"/>
                      <w:szCs w:val="18"/>
                    </w:rPr>
                    <w:t xml:space="preserve">VALIDER LES HYPOTHÈSES SUR LE TERRAIN</w:t>
                  </w:r>
                </w:p>
                <w:p>
                  <w:pPr>
                    <w:spacing w:after="0" w:line="252"/>
                  </w:pPr>
                  <w:r>
                    <w:rPr>
                      <w:rFonts w:ascii="Montserrat" w:cs="Montserrat" w:eastAsia="Montserrat" w:hAnsi="Montserrat"/>
                      <w:color w:val="7F7F7F"/>
                      <w:sz w:val="13"/>
                      <w:szCs w:val="13"/>
                    </w:rPr>
                    <w:t xml:space="preserve">Les hypothèses à confronter  ·  Le dispositif prévu  ·  La place de l'enseignant  ·  Ce que la collecte peut remettre en cause</w:t>
                  </w:r>
                </w:p>
              </w:tc>
            </w:tr>
            <w:tr>
              <w:trPr>
                <w:cantSplit/>
              </w:trPr>
              <w:tc>
                <w:tcPr>
                  <w:tcW w:type="dxa" w:w="900"/>
                  <w:tcBorders>
                    <w:top w:val="none" w:color="auto" w:sz="0"/>
                    <w:left w:val="none" w:color="auto" w:sz="0"/>
                    <w:bottom w:val="none" w:color="auto" w:sz="0"/>
                    <w:right w:val="single" w:color="333635" w:sz="6"/>
                  </w:tcBorders>
                  <w:tcMar>
                    <w:top w:type="dxa" w:w="110"/>
                    <w:bottom w:type="dxa" w:w="110"/>
                    <w:right w:type="dxa" w:w="180"/>
                  </w:tcMar>
                </w:tcPr>
                <w:p>
                  <w:pPr>
                    <w:spacing w:after="0"/>
                    <w:jc w:val="right"/>
                  </w:pPr>
                  <w:r>
                    <w:rPr>
                      <w:rFonts w:ascii="Montserrat" w:cs="Montserrat" w:eastAsia="Montserrat" w:hAnsi="Montserrat"/>
                      <w:b/>
                      <w:bCs/>
                      <w:color w:val="333635"/>
                      <w:sz w:val="16"/>
                      <w:szCs w:val="16"/>
                    </w:rPr>
                    <w:fldChar w:fldCharType="begin"/>
                  </w:r>
                  <w:r>
                    <w:rPr>
                      <w:rFonts w:ascii="Montserrat" w:cs="Montserrat" w:eastAsia="Montserrat" w:hAnsi="Montserrat"/>
                      <w:b/>
                      <w:bCs/>
                      <w:color w:val="333635"/>
                      <w:sz w:val="16"/>
                      <w:szCs w:val="16"/>
                    </w:rPr>
                    <w:instrText xml:space="preserve"> PAGEREF chap_8 \h </w:instrText>
                  </w:r>
                  <w:r>
                    <w:rPr>
                      <w:rFonts w:ascii="Montserrat" w:cs="Montserrat" w:eastAsia="Montserrat" w:hAnsi="Montserrat"/>
                      <w:b/>
                      <w:bCs/>
                      <w:color w:val="333635"/>
                      <w:sz w:val="16"/>
                      <w:szCs w:val="16"/>
                    </w:rPr>
                    <w:fldChar w:fldCharType="separate"/>
                  </w:r>
                  <w:r>
                    <w:rPr>
                      <w:rFonts w:ascii="Montserrat" w:cs="Montserrat" w:eastAsia="Montserrat" w:hAnsi="Montserrat"/>
                      <w:b/>
                      <w:bCs/>
                      <w:color w:val="333635"/>
                      <w:sz w:val="16"/>
                      <w:szCs w:val="16"/>
                    </w:rPr>
                    <w:t>16</w:t>
                  </w:r>
                  <w:r>
                    <w:rPr>
                      <w:rFonts w:ascii="Montserrat" w:cs="Montserrat" w:eastAsia="Montserrat" w:hAnsi="Montserrat"/>
                      <w:b/>
                      <w:bCs/>
                      <w:color w:val="333635"/>
                      <w:sz w:val="16"/>
                      <w:szCs w:val="16"/>
                    </w:rPr>
                    <w:fldChar w:fldCharType="end"/>
                  </w:r>
                </w:p>
              </w:tc>
              <w:tc>
                <w:tcPr>
                  <w:tcW w:type="dxa" w:w="5706"/>
                  <w:tcBorders>
                    <w:top w:val="none" w:color="auto" w:sz="0"/>
                    <w:left w:val="none" w:color="auto" w:sz="0"/>
                    <w:bottom w:val="none" w:color="auto" w:sz="0"/>
                    <w:right w:val="none" w:color="auto" w:sz="0"/>
                  </w:tcBorders>
                  <w:tcMar>
                    <w:top w:type="dxa" w:w="110"/>
                    <w:left w:type="dxa" w:w="260"/>
                    <w:bottom w:type="dxa" w:w="110"/>
                  </w:tcMar>
                </w:tcPr>
                <w:p>
                  <w:pPr>
                    <w:spacing w:after="0"/>
                  </w:pPr>
                  <w:r>
                    <w:rPr>
                      <w:rFonts w:ascii="Montserrat" w:cs="Montserrat" w:eastAsia="Montserrat" w:hAnsi="Montserrat"/>
                      <w:b/>
                      <w:bCs/>
                      <w:color w:val="173347"/>
                      <w:spacing w:val="10"/>
                      <w:sz w:val="18"/>
                      <w:szCs w:val="18"/>
                    </w:rPr>
                    <w:t xml:space="preserve">CONCLUSION DE L'ÉTUDE</w:t>
                  </w:r>
                </w:p>
              </w:tc>
            </w:tr>
          </w:tbl>
          <w:p/>
        </w:tc>
      </w:tr>
    </w:tbl>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ÉTUDE DE MARCHÉ</w:t>
            </w:r>
          </w:p>
          <w:p>
            <w:pPr>
              <w:pStyle w:val="Heading1"/>
              <w:keepNext/>
              <w:spacing w:after="0" w:before="0" w:line="700" w:lineRule="exact"/>
            </w:pPr>
            <w:bookmarkStart w:name="chap_0" w:id="101"/>
            <w:r>
              <w:rPr>
                <w:rFonts w:ascii="Oswald ExtraLight" w:cs="Oswald ExtraLight" w:eastAsia="Oswald ExtraLight" w:hAnsi="Oswald ExtraLight"/>
                <w:color w:val="173347"/>
                <w:sz w:val="64"/>
                <w:szCs w:val="64"/>
              </w:rPr>
              <w:t xml:space="preserve">INTRODUCTION</w:t>
            </w:r>
            <w:bookmarkEnd w:id="101"/>
            <w:r>
              <w:rPr>
                <w:rFonts w:ascii="Oswald" w:cs="Oswald" w:eastAsia="Oswald" w:hAnsi="Oswald"/>
                <w:b/>
                <w:bCs/>
                <w:color w:val="173347"/>
                <w:sz w:val="64"/>
                <w:szCs w:val="64"/>
              </w:rPr>
              <w:br/>
              <w:t xml:space="preserve">À L'ÉTUDE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 </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Cette étude constitue le Livrable 3 de mon projet fil rouge. Elle analyse le marché visé par </w:t>
      </w:r>
      <w:r>
        <w:rPr>
          <w:rFonts w:ascii="Montserrat" w:cs="Montserrat" w:eastAsia="Montserrat" w:hAnsi="Montserrat"/>
          <w:b/>
          <w:bCs/>
          <w:color w:val="333635"/>
          <w:sz w:val="18"/>
          <w:szCs w:val="18"/>
        </w:rPr>
        <w:t xml:space="preserve">Les Gardiens du Monde</w:t>
      </w:r>
      <w:r>
        <w:rPr>
          <w:rFonts w:ascii="Montserrat" w:cs="Montserrat" w:eastAsia="Montserrat" w:hAnsi="Montserrat"/>
          <w:color w:val="58595B"/>
          <w:sz w:val="18"/>
          <w:szCs w:val="18"/>
        </w:rPr>
        <w:t xml:space="preserve">, le jeu narratif éducatif que Nova Graph conçoit pour les collégiens de 6e et de 5e.</w:t>
      </w:r>
    </w:p>
    <w:p>
      <w:pPr>
        <w:keepNext/>
        <w:spacing w:after="0" w:before="240" w:line="900" w:lineRule="exact"/>
      </w:pPr>
      <w:r>
        <w:rPr>
          <w:rFonts w:ascii="Oswald" w:cs="Oswald" w:eastAsia="Oswald" w:hAnsi="Oswald"/>
          <w:b/>
          <w:bCs/>
          <w:color w:val="173347"/>
          <w:sz w:val="110"/>
          <w:szCs w:val="110"/>
        </w:rPr>
        <w:t xml:space="preserve">“</w:t>
      </w:r>
    </w:p>
    <w:p>
      <w:pPr>
        <w:keepNext/>
        <w:spacing w:after="80"/>
        <w:ind w:left="400"/>
      </w:pPr>
      <w:r>
        <w:rPr>
          <w:rFonts w:ascii="Montserrat" w:cs="Montserrat" w:eastAsia="Montserrat" w:hAnsi="Montserrat"/>
          <w:b/>
          <w:bCs/>
          <w:color w:val="87ADBA"/>
          <w:spacing w:val="40"/>
          <w:sz w:val="15"/>
          <w:szCs w:val="15"/>
        </w:rPr>
        <w:t xml:space="preserve">PROBLÉMATIQUE</w:t>
      </w:r>
    </w:p>
    <w:p>
      <w:pPr>
        <w:spacing w:after="320" w:line="312"/>
        <w:ind w:left="400" w:right="400"/>
      </w:pPr>
      <w:r>
        <w:rPr>
          <w:rFonts w:ascii="Montserrat" w:cs="Montserrat" w:eastAsia="Montserrat" w:hAnsi="Montserrat"/>
          <w:b w:val="false"/>
          <w:bCs w:val="false"/>
          <w:color w:val="333635"/>
          <w:sz w:val="26"/>
          <w:szCs w:val="26"/>
        </w:rPr>
        <w:t xml:space="preserve">Les collèges ont-ils besoin d'un jeu narratif qui rende l'éducation à l'éco-responsabilité accessible aux élèves TND, et à quelles conditions ce projet peut-il y trouver sa place ?</w:t>
      </w:r>
    </w:p>
    <w:p>
      <w:pPr>
        <w:spacing w:after="140" w:line="288"/>
        <w:jc w:val="both"/>
      </w:pPr>
      <w:r>
        <w:rPr>
          <w:rFonts w:ascii="Montserrat" w:cs="Montserrat" w:eastAsia="Montserrat" w:hAnsi="Montserrat"/>
          <w:color w:val="58595B"/>
          <w:sz w:val="18"/>
          <w:szCs w:val="18"/>
        </w:rPr>
        <w:t xml:space="preserve">L'étude suit la méthode en 6 étapes, traitées chacune dans un chapitre : le marché, la demande, l'offre et la concurrence, l'environnement, l'opportunité, puis les recommandations. Un septième chapitre liste les hypothèses à valider sur le terrain, et une conclusion reprend les idées-clés. En annexe, les sources vérifiées sont signalées comme telles ; les autres sont citées sous réserve.</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01</w:t>
            </w:r>
          </w:p>
          <w:p>
            <w:pPr>
              <w:pStyle w:val="Heading1"/>
              <w:keepNext/>
              <w:spacing w:after="0" w:before="0" w:line="700" w:lineRule="exact"/>
            </w:pPr>
            <w:bookmarkStart w:name="chap_1" w:id="102"/>
            <w:r>
              <w:rPr>
                <w:rFonts w:ascii="Oswald ExtraLight" w:cs="Oswald ExtraLight" w:eastAsia="Oswald ExtraLight" w:hAnsi="Oswald ExtraLight"/>
                <w:color w:val="173347"/>
                <w:sz w:val="64"/>
                <w:szCs w:val="64"/>
              </w:rPr>
              <w:t xml:space="preserve">ANALYSER</w:t>
            </w:r>
            <w:bookmarkEnd w:id="102"/>
            <w:r>
              <w:rPr>
                <w:rFonts w:ascii="Oswald" w:cs="Oswald" w:eastAsia="Oswald" w:hAnsi="Oswald"/>
                <w:b/>
                <w:bCs/>
                <w:color w:val="173347"/>
                <w:sz w:val="64"/>
                <w:szCs w:val="64"/>
              </w:rPr>
              <w:br/>
              <w:t xml:space="preserve">LE MARCHÉ</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01</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DÉFINITION DU MARCHÉ</w:t>
      </w:r>
    </w:p>
    <w:p>
      <w:pPr>
        <w:spacing w:after="140" w:line="288"/>
        <w:jc w:val="both"/>
      </w:pPr>
      <w:r>
        <w:rPr>
          <w:rFonts w:ascii="Montserrat" w:cs="Montserrat" w:eastAsia="Montserrat" w:hAnsi="Montserrat"/>
          <w:color w:val="58595B"/>
          <w:sz w:val="18"/>
          <w:szCs w:val="18"/>
        </w:rPr>
        <w:t xml:space="preserve">Parler du « marché de l'EdTech » ne permettrait rien de mesurer. 4 questions délimitent le marché visé.</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709"/>
        <w:gridCol w:w="6697"/>
      </w:tblGrid>
      <w:tr>
        <w:trPr>
          <w:cantSplit/>
          <w:tblHeader/>
        </w:trPr>
        <w:tc>
          <w:tcPr>
            <w:tcW w:type="dxa" w:w="2709"/>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QUESTION</w:t>
            </w:r>
          </w:p>
        </w:tc>
        <w:tc>
          <w:tcPr>
            <w:tcW w:type="dxa" w:w="669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RÉPONSE</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Quel produit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jeu narratif à embranchements (visual novel) jouable en navigateur, sans installation ni compte.</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Pour quel besoin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Rendre l'éducation à l'éco-responsabilité réellement accessible aux élèves présentant un trouble du neurodéveloppement, sans les désigner comme différents.</w:t>
            </w:r>
          </w:p>
        </w:tc>
      </w:tr>
      <w:tr>
        <w:trPr>
          <w:cantSplit/>
          <w:tblHeader w:val="false"/>
        </w:trPr>
        <w:tc>
          <w:tcPr>
            <w:tcW w:type="dxa" w:w="2709"/>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Pour quelle clientèle ?</w:t>
            </w:r>
          </w:p>
        </w:tc>
        <w:tc>
          <w:tcPr>
            <w:tcW w:type="dxa" w:w="66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collèges, via les enseignants prescripteurs ; les bénéficiaires sont les élèves de 6° et de 5°</w:t>
            </w:r>
          </w:p>
        </w:tc>
      </w:tr>
      <w:tr>
        <w:trPr>
          <w:cantSplit/>
          <w:tblHeader w:val="false"/>
        </w:trPr>
        <w:tc>
          <w:tcPr>
            <w:tcW w:type="dxa" w:w="2709"/>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Dans quelle zone ?</w:t>
            </w:r>
          </w:p>
        </w:tc>
        <w:tc>
          <w:tcPr>
            <w:tcW w:type="dxa" w:w="669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France, avec un lancement concentré sur l'académie de Lille la première année.</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TAILLE DU MARCHÉ</w:t>
      </w:r>
    </w:p>
    <w:tbl>
      <w:tblPr>
        <w:tblW w:type="dxa" w:w="9406"/>
        <w:tblBorders>
          <w:top w:val="none" w:color="auto" w:sz="0"/>
          <w:left w:val="none" w:color="auto" w:sz="0"/>
          <w:bottom w:val="none" w:color="auto" w:sz="0"/>
          <w:right w:val="none" w:color="auto" w:sz="0"/>
          <w:insideH w:val="none" w:color="auto" w:sz="0"/>
          <w:insideV w:val="single" w:color="BCBEC0"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1,8 Md€</w:t>
            </w:r>
          </w:p>
          <w:p>
            <w:pPr>
              <w:spacing w:after="0" w:line="252"/>
            </w:pPr>
            <w:r>
              <w:rPr>
                <w:rFonts w:ascii="Montserrat" w:cs="Montserrat" w:eastAsia="Montserrat" w:hAnsi="Montserrat"/>
                <w:b/>
                <w:bCs/>
                <w:color w:val="333635"/>
                <w:spacing w:val="10"/>
                <w:sz w:val="13"/>
                <w:szCs w:val="13"/>
              </w:rPr>
              <w:t xml:space="preserve">CA DU NUMÉRIQUE ÉDUCATIF FRANÇAIS EN 2025</w:t>
            </w:r>
          </w:p>
        </w:tc>
        <w:tc>
          <w:tcPr>
            <w:tcW w:type="dxa" w:w="3135"/>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22 %</w:t>
            </w:r>
          </w:p>
          <w:p>
            <w:pPr>
              <w:spacing w:after="0" w:line="252"/>
            </w:pPr>
            <w:r>
              <w:rPr>
                <w:rFonts w:ascii="Montserrat" w:cs="Montserrat" w:eastAsia="Montserrat" w:hAnsi="Montserrat"/>
                <w:b/>
                <w:bCs/>
                <w:color w:val="333635"/>
                <w:spacing w:val="10"/>
                <w:sz w:val="13"/>
                <w:szCs w:val="13"/>
              </w:rPr>
              <w:t xml:space="preserve">PART DU SEGMENT SCOLAIRE</w:t>
            </w:r>
          </w:p>
        </w:tc>
        <w:tc>
          <w:tcPr>
            <w:tcW w:type="dxa" w:w="3136"/>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396 M€</w:t>
            </w:r>
          </w:p>
          <w:p>
            <w:pPr>
              <w:spacing w:after="0" w:line="252"/>
            </w:pPr>
            <w:r>
              <w:rPr>
                <w:rFonts w:ascii="Montserrat" w:cs="Montserrat" w:eastAsia="Montserrat" w:hAnsi="Montserrat"/>
                <w:b/>
                <w:bCs/>
                <w:color w:val="333635"/>
                <w:spacing w:val="10"/>
                <w:sz w:val="13"/>
                <w:szCs w:val="13"/>
              </w:rPr>
              <w:t xml:space="preserve">MARCHÉ SCOLAIRE DE RÉFÉRENCE</w:t>
            </w:r>
          </w:p>
        </w:tc>
      </w:tr>
    </w:tbl>
    <w:p>
      <w:pPr>
        <w:spacing w:after="80" w:before="0" w:line="240"/>
      </w:pPr>
    </w:p>
    <w:tbl>
      <w:tblPr>
        <w:tblW w:type="dxa" w:w="9406"/>
        <w:tblBorders>
          <w:top w:val="none" w:color="auto" w:sz="0"/>
          <w:left w:val="none" w:color="auto" w:sz="0"/>
          <w:bottom w:val="none" w:color="auto" w:sz="0"/>
          <w:right w:val="none" w:color="auto" w:sz="0"/>
          <w:insideH w:val="none" w:color="auto" w:sz="0"/>
          <w:insideV w:val="single" w:color="BCBEC0"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3,37 M</w:t>
            </w:r>
          </w:p>
          <w:p>
            <w:pPr>
              <w:spacing w:after="0" w:line="252"/>
            </w:pPr>
            <w:r>
              <w:rPr>
                <w:rFonts w:ascii="Montserrat" w:cs="Montserrat" w:eastAsia="Montserrat" w:hAnsi="Montserrat"/>
                <w:b/>
                <w:bCs/>
                <w:color w:val="333635"/>
                <w:spacing w:val="10"/>
                <w:sz w:val="13"/>
                <w:szCs w:val="13"/>
              </w:rPr>
              <w:t xml:space="preserve">COLLÉGIENS SCOLARISÉS EN FRANCE</w:t>
            </w:r>
          </w:p>
        </w:tc>
        <w:tc>
          <w:tcPr>
            <w:tcW w:type="dxa" w:w="3135"/>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1 sur 6</w:t>
            </w:r>
          </w:p>
          <w:p>
            <w:pPr>
              <w:spacing w:after="0" w:line="252"/>
            </w:pPr>
            <w:r>
              <w:rPr>
                <w:rFonts w:ascii="Montserrat" w:cs="Montserrat" w:eastAsia="Montserrat" w:hAnsi="Montserrat"/>
                <w:b/>
                <w:bCs/>
                <w:color w:val="333635"/>
                <w:spacing w:val="10"/>
                <w:sz w:val="13"/>
                <w:szCs w:val="13"/>
              </w:rPr>
              <w:t xml:space="preserve">PERSONNE CONCERNÉE PAR UN TND</w:t>
            </w:r>
          </w:p>
        </w:tc>
        <w:tc>
          <w:tcPr>
            <w:tcW w:type="dxa" w:w="3136"/>
            <w:tcBorders>
              <w:top w:val="none" w:color="auto" w:sz="0"/>
              <w:left w:val="single" w:color="BCBEC0" w:sz="4"/>
              <w:bottom w:val="none" w:color="auto" w:sz="0"/>
              <w:right w:val="none" w:color="auto" w:sz="0"/>
            </w:tcBorders>
            <w:shd w:fill="E9EDEF" w:color="auto" w:val="clear"/>
            <w:tcMar>
              <w:top w:type="dxa" w:w="260"/>
              <w:left w:type="dxa" w:w="240"/>
              <w:bottom w:type="dxa" w:w="170"/>
              <w:right w:type="dxa" w:w="200"/>
            </w:tcMar>
          </w:tcPr>
          <w:p>
            <w:pPr>
              <w:spacing w:after="40" w:line="240"/>
            </w:pPr>
            <w:r>
              <w:rPr>
                <w:rFonts w:ascii="Oswald" w:cs="Oswald" w:eastAsia="Oswald" w:hAnsi="Oswald"/>
                <w:b/>
                <w:bCs/>
                <w:color w:val="173347"/>
                <w:sz w:val="50"/>
                <w:szCs w:val="50"/>
              </w:rPr>
              <w:t xml:space="preserve">265 000</w:t>
            </w:r>
          </w:p>
          <w:p>
            <w:pPr>
              <w:spacing w:after="0" w:line="252"/>
            </w:pPr>
            <w:r>
              <w:rPr>
                <w:rFonts w:ascii="Montserrat" w:cs="Montserrat" w:eastAsia="Montserrat" w:hAnsi="Montserrat"/>
                <w:b/>
                <w:bCs/>
                <w:color w:val="333635"/>
                <w:spacing w:val="10"/>
                <w:sz w:val="13"/>
                <w:szCs w:val="13"/>
              </w:rPr>
              <w:t xml:space="preserve">ÉLÈVES DE 6e ET 5e POTENTIELLEMENT CONCERNÉS</w:t>
            </w:r>
          </w:p>
        </w:tc>
      </w:tr>
    </w:tbl>
    <w:p>
      <w:pPr>
        <w:spacing w:after="80" w:before="0" w:line="240"/>
      </w:pPr>
    </w:p>
    <w:p>
      <w:pPr>
        <w:spacing w:after="200" w:before="60"/>
      </w:pPr>
      <w:r>
        <w:rPr>
          <w:rFonts w:ascii="Montserrat" w:cs="Montserrat" w:eastAsia="Montserrat" w:hAnsi="Montserrat"/>
          <w:i/>
          <w:iCs/>
          <w:color w:val="7F7F7F"/>
          <w:sz w:val="13"/>
          <w:szCs w:val="13"/>
        </w:rPr>
        <w:t xml:space="preserve">Source : EY-Parthenon × EdTech France (2026), DEPP, stratégie nationale TND.</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L'ÉVOLUTION DU MARCHÉ</w:t>
      </w:r>
    </w:p>
    <w:p>
      <w:pPr>
        <w:spacing w:after="140" w:line="288"/>
        <w:jc w:val="both"/>
      </w:pPr>
      <w:r>
        <w:rPr>
          <w:rFonts w:ascii="Montserrat" w:cs="Montserrat" w:eastAsia="Montserrat" w:hAnsi="Montserrat"/>
          <w:color w:val="58595B"/>
          <w:sz w:val="18"/>
          <w:szCs w:val="18"/>
        </w:rPr>
        <w:t xml:space="preserve">Après l'expansion rapide des années de crise sanitaire, le numérique éducatif est entré dans une phase de croissance modérée depuis 2023. Les établissements achètent toujours, mais ils trient. Une ressource doit prouver son utilité pédagogique et sa simplicité de mise en œuvre pour être retenue.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GRANDES TENDANCES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L'hétérogénéité du parc informatique des collèges impose une version navigateur, sans installation ni compte.</w:t>
      </w:r>
    </w:p>
    <w:p>
      <w:pPr>
        <w:pStyle w:val="ListParagraph"/>
        <w:numPr>
          <w:ilvl w:val="0"/>
          <w:numId w:val="2"/>
        </w:numPr>
        <w:spacing w:after="90" w:line="276"/>
        <w:jc w:val="left"/>
      </w:pPr>
      <w:r>
        <w:rPr>
          <w:rFonts w:ascii="Montserrat" w:cs="Montserrat" w:eastAsia="Montserrat" w:hAnsi="Montserrat"/>
          <w:color w:val="58595B"/>
          <w:sz w:val="18"/>
          <w:szCs w:val="18"/>
        </w:rPr>
        <w:t xml:space="preserve">La génération assistée abaisse le coût de production des contenus. Elle profite à un projet solo, mais aussi à ses concurrents.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L'exigence de sobriété numérique transforme un jeu léger en preuve de cohérence avec le propos écologique du projet.</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02</w:t>
            </w:r>
          </w:p>
          <w:p>
            <w:pPr>
              <w:pStyle w:val="Heading1"/>
              <w:keepNext/>
              <w:spacing w:after="0" w:before="0" w:line="700" w:lineRule="exact"/>
            </w:pPr>
            <w:bookmarkStart w:name="chap_2" w:id="103"/>
            <w:r>
              <w:rPr>
                <w:rFonts w:ascii="Oswald ExtraLight" w:cs="Oswald ExtraLight" w:eastAsia="Oswald ExtraLight" w:hAnsi="Oswald ExtraLight"/>
                <w:color w:val="173347"/>
                <w:sz w:val="64"/>
                <w:szCs w:val="64"/>
              </w:rPr>
              <w:t xml:space="preserve">ANALYSER</w:t>
            </w:r>
            <w:bookmarkEnd w:id="103"/>
            <w:r>
              <w:rPr>
                <w:rFonts w:ascii="Oswald" w:cs="Oswald" w:eastAsia="Oswald" w:hAnsi="Oswald"/>
                <w:b/>
                <w:bCs/>
                <w:color w:val="173347"/>
                <w:sz w:val="64"/>
                <w:szCs w:val="64"/>
              </w:rPr>
              <w:br/>
              <w:t xml:space="preserve">LA DEMANDE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02</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CIBLE</w:t>
      </w:r>
    </w:p>
    <w:p>
      <w:pPr>
        <w:spacing w:after="140" w:line="288"/>
        <w:jc w:val="both"/>
      </w:pPr>
      <w:r>
        <w:rPr>
          <w:rFonts w:ascii="Montserrat" w:cs="Montserrat" w:eastAsia="Montserrat" w:hAnsi="Montserrat"/>
          <w:color w:val="58595B"/>
          <w:sz w:val="18"/>
          <w:szCs w:val="18"/>
        </w:rPr>
        <w:t xml:space="preserve">Le jeu s'adresse aux collégiens, mais s'en tenir là serait une erreur de ciblage : l'utilisateur n'est pas celui qui décide de l'adoption</w:t>
      </w:r>
      <w:r>
        <w:rPr>
          <w:rFonts w:ascii="Montserrat" w:cs="Montserrat" w:eastAsia="Montserrat" w:hAnsi="Montserrat"/>
          <w:color w:val="58595B"/>
          <w:sz w:val="18"/>
          <w:szCs w:val="18"/>
        </w:rPr>
        <w:t xml:space="preserve"> du projet</w:t>
      </w:r>
      <w:r>
        <w:rPr>
          <w:rFonts w:ascii="Montserrat" w:cs="Montserrat" w:eastAsia="Montserrat" w:hAnsi="Montserrat"/>
          <w:color w:val="58595B"/>
          <w:sz w:val="18"/>
          <w:szCs w:val="18"/>
        </w:rPr>
        <w:t xml:space="preserve">. La demande se répartit donc en 3 profils bien différents.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enseignants de collège, prescripteurs réels, en priorité SVT, histoire-géographie et professeurs documentalistes. Sans eux, </w:t>
      </w:r>
      <w:r>
        <w:rPr>
          <w:rFonts w:ascii="Montserrat" w:cs="Montserrat" w:eastAsia="Montserrat" w:hAnsi="Montserrat"/>
          <w:color w:val="58595B"/>
          <w:sz w:val="18"/>
          <w:szCs w:val="18"/>
        </w:rPr>
        <w:t xml:space="preserve">pas d’</w:t>
      </w:r>
      <w:r>
        <w:rPr>
          <w:rFonts w:ascii="Montserrat" w:cs="Montserrat" w:eastAsia="Montserrat" w:hAnsi="Montserrat"/>
          <w:color w:val="58595B"/>
          <w:sz w:val="18"/>
          <w:szCs w:val="18"/>
        </w:rPr>
        <w:t xml:space="preserve">accès</w:t>
      </w:r>
      <w:r>
        <w:rPr>
          <w:rFonts w:ascii="Montserrat" w:cs="Montserrat" w:eastAsia="Montserrat" w:hAnsi="Montserrat"/>
          <w:color w:val="58595B"/>
          <w:sz w:val="18"/>
          <w:szCs w:val="18"/>
        </w:rPr>
        <w:t xml:space="preserve"> aux élèves.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élèves de 6e et 5e présentant</w:t>
      </w:r>
      <w:r>
        <w:rPr>
          <w:rFonts w:ascii="Montserrat" w:cs="Montserrat" w:eastAsia="Montserrat" w:hAnsi="Montserrat"/>
          <w:color w:val="58595B"/>
          <w:sz w:val="18"/>
          <w:szCs w:val="18"/>
        </w:rPr>
        <w:t xml:space="preserve"> </w:t>
      </w:r>
      <w:r>
        <w:rPr>
          <w:rFonts w:ascii="Montserrat" w:cs="Montserrat" w:eastAsia="Montserrat" w:hAnsi="Montserrat"/>
          <w:color w:val="58595B"/>
          <w:sz w:val="18"/>
          <w:szCs w:val="18"/>
        </w:rPr>
        <w:t xml:space="preserve">un TND, </w:t>
      </w:r>
      <w:r>
        <w:rPr>
          <w:rFonts w:ascii="Montserrat" w:cs="Montserrat" w:eastAsia="Montserrat" w:hAnsi="Montserrat"/>
          <w:color w:val="58595B"/>
          <w:sz w:val="18"/>
          <w:szCs w:val="18"/>
        </w:rPr>
        <w:t xml:space="preserve">les </w:t>
      </w:r>
      <w:r>
        <w:rPr>
          <w:rFonts w:ascii="Montserrat" w:cs="Montserrat" w:eastAsia="Montserrat" w:hAnsi="Montserrat"/>
          <w:color w:val="58595B"/>
          <w:sz w:val="18"/>
          <w:szCs w:val="18"/>
        </w:rPr>
        <w:t xml:space="preserve">bénéficiaires directs du projet.</w:t>
      </w:r>
    </w:p>
    <w:p>
      <w:pPr>
        <w:pStyle w:val="ListParagraph"/>
        <w:numPr>
          <w:ilvl w:val="0"/>
          <w:numId w:val="2"/>
        </w:numPr>
        <w:spacing w:after="90" w:line="276"/>
        <w:jc w:val="left"/>
      </w:pPr>
      <w:r>
        <w:rPr>
          <w:rFonts w:ascii="Montserrat" w:cs="Montserrat" w:eastAsia="Montserrat" w:hAnsi="Montserrat"/>
          <w:color w:val="58595B"/>
          <w:sz w:val="18"/>
          <w:szCs w:val="18"/>
        </w:rPr>
        <w:t xml:space="preserve">Les élèves sans besoin spécifique, dont l'adhésion valide que le format fonctionne comme un vrai récit et non comme un exercice déguisé.</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BESOIN RÉEL</w:t>
      </w:r>
    </w:p>
    <w:p>
      <w:pPr>
        <w:spacing w:after="140" w:line="288"/>
        <w:jc w:val="both"/>
      </w:pPr>
      <w:r>
        <w:rPr>
          <w:rFonts w:ascii="Montserrat" w:cs="Montserrat" w:eastAsia="Montserrat" w:hAnsi="Montserrat"/>
          <w:color w:val="58595B"/>
          <w:sz w:val="18"/>
          <w:szCs w:val="18"/>
        </w:rPr>
        <w:t xml:space="preserve">Le besoin apparent de l'enseignant est « une ressource sur l</w:t>
      </w:r>
      <w:r>
        <w:rPr>
          <w:rFonts w:ascii="Montserrat" w:cs="Montserrat" w:eastAsia="Montserrat" w:hAnsi="Montserrat"/>
          <w:color w:val="58595B"/>
          <w:sz w:val="18"/>
          <w:szCs w:val="18"/>
        </w:rPr>
        <w:t xml:space="preserve">’éco-responsabilité »</w:t>
      </w:r>
      <w:r>
        <w:rPr>
          <w:rFonts w:ascii="Montserrat" w:cs="Montserrat" w:eastAsia="Montserrat" w:hAnsi="Montserrat"/>
          <w:color w:val="58595B"/>
          <w:sz w:val="18"/>
          <w:szCs w:val="18"/>
        </w:rPr>
        <w:t xml:space="preserve">. Son besoin réel est plus exigeant : une séance qui fonctionne du premier coup, qui engage toute la classe et qui demande peu de préparation. Pour l'élève TND, le besoin réel est de vivre la même histoire que les autres, sans </w:t>
      </w:r>
      <w:r>
        <w:rPr>
          <w:rFonts w:ascii="Montserrat" w:cs="Montserrat" w:eastAsia="Montserrat" w:hAnsi="Montserrat"/>
          <w:color w:val="58595B"/>
          <w:sz w:val="18"/>
          <w:szCs w:val="18"/>
        </w:rPr>
        <w:t xml:space="preserve">se sentir</w:t>
      </w:r>
      <w:r>
        <w:rPr>
          <w:rFonts w:ascii="Montserrat" w:cs="Montserrat" w:eastAsia="Montserrat" w:hAnsi="Montserrat"/>
          <w:color w:val="58595B"/>
          <w:sz w:val="18"/>
          <w:szCs w:val="18"/>
        </w:rPr>
        <w:t xml:space="preserve"> différent.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MOTIVATIONS</w:t>
      </w:r>
    </w:p>
    <w:p>
      <w:pPr>
        <w:spacing w:after="140" w:line="288"/>
        <w:jc w:val="both"/>
      </w:pPr>
      <w:r>
        <w:rPr>
          <w:rFonts w:ascii="Montserrat" w:cs="Montserrat" w:eastAsia="Montserrat" w:hAnsi="Montserrat"/>
          <w:color w:val="58595B"/>
          <w:sz w:val="18"/>
          <w:szCs w:val="18"/>
        </w:rPr>
        <w:t xml:space="preserve">L'engagement des élèves vient en premier, car c'est sur ce critère qu'un enseignant juge sa séance. La conformité aux programmes suit, puisque l'éducation au développement durable y est inscrite. Le coût compte aussi. Un abonnement de 3,20 à 9 € par élève et par an, selon le nombre de classes, doit pouvoir se justifier en une phrase devant un chef d'établissement.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FREINS</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temps de préparation, ressource la plus rare de l'enseignant : un outil exigeant est écarté avant d'être évalué.</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circuit budgétaire : au-delà de 1 000 €, la dépense passe en conseil d'administration, avec délais et incertitude.</w:t>
      </w:r>
    </w:p>
    <w:p>
      <w:pPr>
        <w:pStyle w:val="ListParagraph"/>
        <w:numPr>
          <w:ilvl w:val="0"/>
          <w:numId w:val="2"/>
        </w:numPr>
        <w:spacing w:after="90" w:line="276"/>
        <w:jc w:val="left"/>
      </w:pPr>
      <w:r>
        <w:rPr>
          <w:rFonts w:ascii="Montserrat" w:cs="Montserrat" w:eastAsia="Montserrat" w:hAnsi="Montserrat"/>
          <w:color w:val="58595B"/>
          <w:sz w:val="18"/>
          <w:szCs w:val="18"/>
        </w:rPr>
        <w:t xml:space="preserve">La stigmatisation : tout support « adapté » distribué à part est rejeté par les élèves qu'il vise.</w:t>
      </w:r>
    </w:p>
    <w:p>
      <w:pPr>
        <w:pStyle w:val="ListParagraph"/>
        <w:numPr>
          <w:ilvl w:val="0"/>
          <w:numId w:val="2"/>
        </w:numPr>
        <w:spacing w:after="90" w:line="276"/>
        <w:jc w:val="left"/>
      </w:pPr>
      <w:r>
        <w:rPr>
          <w:rFonts w:ascii="Montserrat" w:cs="Montserrat" w:eastAsia="Montserrat" w:hAnsi="Montserrat"/>
          <w:color w:val="58595B"/>
          <w:sz w:val="18"/>
          <w:szCs w:val="18"/>
        </w:rPr>
        <w:t xml:space="preserve">Le contenu scolaire déguisé, immédiatement détecté par les élèves joueurs, qui s'en désengagent.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RECOMMANDATIONS INSTITUTIONNELLES</w:t>
      </w:r>
    </w:p>
    <w:p>
      <w:pPr>
        <w:spacing w:after="140" w:line="288"/>
        <w:jc w:val="both"/>
      </w:pPr>
      <w:r>
        <w:rPr>
          <w:rFonts w:ascii="Montserrat" w:cs="Montserrat" w:eastAsia="Montserrat" w:hAnsi="Montserrat"/>
          <w:color w:val="58595B"/>
          <w:sz w:val="18"/>
          <w:szCs w:val="18"/>
        </w:rPr>
        <w:t xml:space="preserve">Les recommandations publiques précisent ce qu'un outil doit respecter pour convenir à un collégien TND. La Maison de l'autisme, site national d'information de la filière TND, retient 5 clés pour une pédagogie adaptée : s'adapter au mode de communication de l'élève, structurer le temps de classe, formuler des attendus simples et mesurables, donner une consigne à la fois, et personnaliser les objectifs.</w:t>
      </w:r>
    </w:p>
    <w:p>
      <w:pPr>
        <w:spacing w:after="140" w:line="288"/>
        <w:jc w:val="both"/>
      </w:pPr>
      <w:r>
        <w:rPr>
          <w:rFonts w:ascii="Montserrat" w:cs="Montserrat" w:eastAsia="Montserrat" w:hAnsi="Montserrat"/>
          <w:color w:val="58595B"/>
          <w:sz w:val="18"/>
          <w:szCs w:val="18"/>
        </w:rPr>
        <w:t xml:space="preserve">La même fiche classe le matériel informatique (ordinateur, tablette, logiciels, applications) parmi les aménagements qu'un projet personnalisé de scolarisation peut prescrire. L'institution reconnaît donc le numérique comme un aménagement légitime, s'il sert un objectif pédagogique clair. Ces 5 clés correspondent à la structure d'un visual novel : une scène à la fois, une consigne par écran, un rythme laissé au lecteur.</w:t>
      </w:r>
    </w:p>
    <w:p>
      <w:pPr>
        <w:spacing w:after="140" w:line="288"/>
        <w:jc w:val="both"/>
      </w:pPr>
      <w:r>
        <w:rPr>
          <w:rFonts w:ascii="Montserrat" w:cs="Montserrat" w:eastAsia="Montserrat" w:hAnsi="Montserrat"/>
          <w:b/>
          <w:bCs/>
          <w:color w:val="333635"/>
          <w:sz w:val="18"/>
          <w:szCs w:val="18"/>
        </w:rPr>
        <w:t xml:space="preserve">La Haute Autorité de santé</w:t>
      </w:r>
      <w:r>
        <w:rPr>
          <w:rFonts w:ascii="Montserrat" w:cs="Montserrat" w:eastAsia="Montserrat" w:hAnsi="Montserrat"/>
          <w:color w:val="58595B"/>
          <w:sz w:val="18"/>
          <w:szCs w:val="18"/>
        </w:rPr>
        <w:t xml:space="preserve"> précise qu'un aménagement pédagogique peut être demandé sans attendre un diagnostic, dès que les besoins de l'élève sont identifiés. Le public concerné dépasse donc les seuls élèves reconnus par un dispositif, ce qui justifie une accessibilité ouverte à tous. Éduscol et le réseau Canopé recommandent enfin </w:t>
      </w:r>
      <w:r>
        <w:rPr>
          <w:rFonts w:ascii="Montserrat" w:cs="Montserrat" w:eastAsia="Montserrat" w:hAnsi="Montserrat"/>
          <w:color w:val="58595B"/>
          <w:sz w:val="18"/>
          <w:szCs w:val="18"/>
        </w:rPr>
        <w:t xml:space="preserve">un</w:t>
      </w:r>
      <w:r>
        <w:rPr>
          <w:rFonts w:ascii="Montserrat" w:cs="Montserrat" w:eastAsia="Montserrat" w:hAnsi="Montserrat"/>
          <w:color w:val="58595B"/>
          <w:sz w:val="18"/>
          <w:szCs w:val="18"/>
        </w:rPr>
        <w:t xml:space="preserve"> contraste renforcé, des polices adaptées aux lecteurs dyslexiques et le sous-titrage : autant de critères vérifiables dans la </w:t>
      </w:r>
      <w:r>
        <w:rPr>
          <w:rFonts w:ascii="Montserrat" w:cs="Montserrat" w:eastAsia="Montserrat" w:hAnsi="Montserrat"/>
          <w:color w:val="58595B"/>
          <w:sz w:val="18"/>
          <w:szCs w:val="18"/>
        </w:rPr>
        <w:t xml:space="preserve">conception. (Annexe A8)</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JEU COMME MÉDIATION PROFESSIONNELLE</w:t>
      </w:r>
    </w:p>
    <w:p>
      <w:pPr>
        <w:spacing w:after="140" w:line="288"/>
        <w:jc w:val="both"/>
      </w:pPr>
      <w:r>
        <w:rPr>
          <w:rFonts w:ascii="Montserrat" w:cs="Montserrat" w:eastAsia="Montserrat" w:hAnsi="Montserrat"/>
          <w:color w:val="58595B"/>
          <w:sz w:val="18"/>
          <w:szCs w:val="18"/>
        </w:rPr>
        <w:t xml:space="preserve">Le jeu est aussi une pratique reconnue chez les professionnels qui accompagnent les enfants TND. Le FM2J, Centre national de formation aux métiers du jeu et du jouet, propose une formation dédiée au jeu auprès de ces enfants. Elle couvre les 4 familles de troubles visées par le projet : trouble du développement intellectuel, TSA, TDAH et troubles dys. Le jeu y est présenté comme une médiation structurée, et non comme une simple distraction.</w:t>
      </w:r>
    </w:p>
    <w:p>
      <w:pPr>
        <w:spacing w:after="140" w:line="288"/>
        <w:jc w:val="both"/>
      </w:pPr>
      <w:r>
        <w:rPr>
          <w:rFonts w:ascii="Montserrat" w:cs="Montserrat" w:eastAsia="Montserrat" w:hAnsi="Montserrat"/>
          <w:color w:val="58595B"/>
          <w:sz w:val="18"/>
          <w:szCs w:val="18"/>
        </w:rPr>
        <w:t xml:space="preserve">Cette formation s'appuie sur l'indice d'universalité d'un jeu, issu d'une recherche-action : rendre un même jeu adaptable à des profils variés, plutôt que d'en produire des versions séparées. Sur le terrain, des équipes de psychologues, de neuropsychologues et d'orthophonistes utilisent aussi le jeu comme médiation auprès d'enfants TSA ou TDAH.</w:t>
      </w:r>
    </w:p>
    <w:p>
      <w:pPr>
        <w:spacing w:after="140" w:line="288"/>
        <w:jc w:val="both"/>
      </w:pPr>
      <w:r>
        <w:rPr>
          <w:rFonts w:ascii="Montserrat" w:cs="Montserrat" w:eastAsia="Montserrat" w:hAnsi="Montserrat"/>
          <w:b/>
          <w:bCs/>
          <w:color w:val="333635"/>
          <w:sz w:val="18"/>
          <w:szCs w:val="18"/>
        </w:rPr>
        <w:t xml:space="preserve">Portée et limite de cet appui. </w:t>
      </w:r>
      <w:r>
        <w:rPr>
          <w:rFonts w:ascii="Montserrat" w:cs="Montserrat" w:eastAsia="Montserrat" w:hAnsi="Montserrat"/>
          <w:color w:val="58595B"/>
          <w:sz w:val="18"/>
          <w:szCs w:val="18"/>
        </w:rPr>
        <w:t xml:space="preserve">Ces références confortent le choix du format et aideront à convaincre les associations spécialisées. Elles ne fondent aucune promesse thérapeutique : la littérature sur le jeu porte surtout sur de jeunes enfants, dans des dispositifs de soin, et appelle elle-même à la prudence. Le projet reste un support pédagogique de classe pour des collégiens de 11 à 13 ans.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PARCOURS DE DÉCISION</w:t>
      </w:r>
    </w:p>
    <w:p>
      <w:pPr>
        <w:spacing w:after="140" w:line="288"/>
        <w:jc w:val="both"/>
      </w:pPr>
      <w:r>
        <w:rPr>
          <w:rFonts w:ascii="Montserrat" w:cs="Montserrat" w:eastAsia="Montserrat" w:hAnsi="Montserrat"/>
          <w:color w:val="58595B"/>
          <w:sz w:val="18"/>
          <w:szCs w:val="18"/>
        </w:rPr>
        <w:t xml:space="preserve">Identifier l'enseignant comme prescripteur ne suffit pas : dans un collège, l'achat fait intervenir plusieurs rôles. Les distinguer permet de savoir à qui s'adresse chaque argument.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772"/>
        <w:gridCol w:w="2709"/>
        <w:gridCol w:w="4925"/>
      </w:tblGrid>
      <w:tr>
        <w:trPr>
          <w:cantSplit/>
          <w:tblHeader/>
        </w:trPr>
        <w:tc>
          <w:tcPr>
            <w:tcW w:type="dxa" w:w="1772"/>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RÔLE</w:t>
            </w:r>
          </w:p>
        </w:tc>
        <w:tc>
          <w:tcPr>
            <w:tcW w:type="dxa" w:w="2709"/>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QUI</w:t>
            </w:r>
          </w:p>
        </w:tc>
        <w:tc>
          <w:tcPr>
            <w:tcW w:type="dxa" w:w="4925"/>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CE QU'IL ATTEND</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Utilisateur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élèves de 6e et de 5e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récit qui tient debout et des choix qui comptent.</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Prescripteur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L'enseignant de SVT, d'histoire-géographie ou le professeur documentaliste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séance qui fonctionne du premier coup, alignée sur les programmes, sans préparation lourde.</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Recommandeur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collègue, un coordonnateur ULIS, un référent numérique, ou l'enseignant missionné pour l'accessibilité pédagogique (EMAP)</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ressource qu'il peut recommander sans risquer sa crédibilité auprès de l'équipe. L'EMAP, chargé du matériel adapté, est un relais à cibler.</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Décideur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chef d'établissement, ou le conseil d'administration</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dépense justifiable en une phrase, sans passage en conseil d’administration si possible.</w:t>
            </w:r>
          </w:p>
        </w:tc>
      </w:tr>
      <w:tr>
        <w:trPr>
          <w:cantSplit/>
          <w:tblHeader w:val="false"/>
        </w:trPr>
        <w:tc>
          <w:tcPr>
            <w:tcW w:type="dxa" w:w="1772"/>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Payeur</w:t>
            </w:r>
          </w:p>
        </w:tc>
        <w:tc>
          <w:tcPr>
            <w:tcW w:type="dxa" w:w="270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L'établissement, sur ses crédits pédagogiques ou son budget numérique</w:t>
            </w:r>
          </w:p>
        </w:tc>
        <w:tc>
          <w:tcPr>
            <w:tcW w:type="dxa" w:w="492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engagement annuel lisible, sans coût caché ni reconduction automatique subie.</w:t>
            </w:r>
          </w:p>
        </w:tc>
      </w:tr>
      <w:tr>
        <w:trPr>
          <w:cantSplit/>
          <w:tblHeader w:val="false"/>
        </w:trPr>
        <w:tc>
          <w:tcPr>
            <w:tcW w:type="dxa" w:w="1772"/>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Bloqueur possible</w:t>
            </w:r>
          </w:p>
        </w:tc>
        <w:tc>
          <w:tcPr>
            <w:tcW w:type="dxa" w:w="2709"/>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gestionnaire, le référent numérique, la DSI académique, le DPO</w:t>
            </w:r>
          </w:p>
        </w:tc>
        <w:tc>
          <w:tcPr>
            <w:tcW w:type="dxa" w:w="4925"/>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Une solution compatible avec le parc, sans installation, et conforme sur les données des mineurs.</w:t>
            </w:r>
          </w:p>
        </w:tc>
      </w:tr>
    </w:tbl>
    <w:p>
      <w:pPr>
        <w:spacing w:after="220" w:before="0" w:line="240"/>
      </w:pPr>
    </w:p>
    <w:p>
      <w:pPr>
        <w:spacing w:after="140" w:line="288"/>
        <w:jc w:val="both"/>
      </w:pPr>
      <w:r>
        <w:rPr>
          <w:rFonts w:ascii="Montserrat" w:cs="Montserrat" w:eastAsia="Montserrat" w:hAnsi="Montserrat"/>
          <w:color w:val="58595B"/>
          <w:sz w:val="18"/>
          <w:szCs w:val="18"/>
        </w:rPr>
        <w:t xml:space="preserve">Le bloqueur n'apparaît qu'au moment où l'achat devient concret. 2 choix de conception le neutralisent par avance : la version navigateur, qui évite toute installation, et l'absence de collecte de données, qui évite un dossier de conformité. Ces points restent à confirmer par les entretiens.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COMPORTEMENT D'ACHAT</w:t>
      </w:r>
    </w:p>
    <w:p>
      <w:pPr>
        <w:spacing w:after="140" w:line="288"/>
        <w:jc w:val="both"/>
      </w:pPr>
      <w:r>
        <w:rPr>
          <w:rFonts w:ascii="Montserrat" w:cs="Montserrat" w:eastAsia="Montserrat" w:hAnsi="Montserrat"/>
          <w:color w:val="58595B"/>
          <w:sz w:val="18"/>
          <w:szCs w:val="18"/>
        </w:rPr>
        <w:t xml:space="preserve">Les enseignants découvrent les ressources numériques par 2 voies : les portails institutionnels et la recommandation de collègues. Sous le seuil des 1 000 €, la décision se prend au niveau de la direction, ce qui raccourcit le cycle de vente.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L'ÉTUDE TERRAIN</w:t>
      </w:r>
    </w:p>
    <w:p>
      <w:pPr>
        <w:spacing w:after="140" w:line="288"/>
        <w:jc w:val="both"/>
      </w:pPr>
      <w:r>
        <w:rPr>
          <w:rFonts w:ascii="Montserrat" w:cs="Montserrat" w:eastAsia="Montserrat" w:hAnsi="Montserrat"/>
          <w:color w:val="58595B"/>
          <w:sz w:val="18"/>
          <w:szCs w:val="18"/>
        </w:rPr>
        <w:t xml:space="preserve">Les protocoles sont définis : entretiens, questionnaire, puis tests sur prototype. Ils ne sont pas encore déployés. Les analyses de cette étude reposent donc sur des sources secondaires publiques.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03</w:t>
            </w:r>
          </w:p>
          <w:p>
            <w:pPr>
              <w:pStyle w:val="Heading1"/>
              <w:keepNext/>
              <w:spacing w:after="0" w:before="0" w:line="700" w:lineRule="exact"/>
            </w:pPr>
            <w:bookmarkStart w:name="chap_3" w:id="104"/>
            <w:r>
              <w:rPr>
                <w:rFonts w:ascii="Oswald ExtraLight" w:cs="Oswald ExtraLight" w:eastAsia="Oswald ExtraLight" w:hAnsi="Oswald ExtraLight"/>
                <w:color w:val="173347"/>
                <w:sz w:val="64"/>
                <w:szCs w:val="64"/>
              </w:rPr>
              <w:t xml:space="preserve">ANALYSER L'OFFRE</w:t>
            </w:r>
            <w:bookmarkEnd w:id="104"/>
            <w:r>
              <w:rPr>
                <w:rFonts w:ascii="Oswald" w:cs="Oswald" w:eastAsia="Oswald" w:hAnsi="Oswald"/>
                <w:b/>
                <w:bCs/>
                <w:color w:val="173347"/>
                <w:sz w:val="64"/>
                <w:szCs w:val="64"/>
              </w:rPr>
              <w:br/>
              <w:t xml:space="preserve">ET LA CONCURRENCE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03</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La veille concurrentielle a recensé 21 acteurs : 5 concurrents directs, qui répondent au même besoin avec une solution proche, et 16 concurrents indirects, qui y répondent autrement. La comparaison détaillée porte sur les plus significatifs.</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501"/>
        <w:gridCol w:w="1772"/>
        <w:gridCol w:w="1772"/>
        <w:gridCol w:w="1772"/>
        <w:gridCol w:w="1589"/>
      </w:tblGrid>
      <w:tr>
        <w:trPr>
          <w:cantSplit/>
          <w:tblHeader/>
        </w:trPr>
        <w:tc>
          <w:tcPr>
            <w:tcW w:type="dxa" w:w="2501"/>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ACTEUR</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RÉCIT INTERACTIF</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THÈME ÉCOLOGIQUE</w:t>
            </w:r>
          </w:p>
        </w:tc>
        <w:tc>
          <w:tcPr>
            <w:tcW w:type="dxa" w:w="1772"/>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ACCESSIBILITÉ TND</w:t>
            </w:r>
          </w:p>
        </w:tc>
        <w:tc>
          <w:tcPr>
            <w:tcW w:type="dxa" w:w="1589"/>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GRATUITÉ ÉLÈVE</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Ecoville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Clim'City</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Vinz et Lou</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Partielle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Partielle</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r>
      <w:tr>
        <w:trPr>
          <w:cantSplit/>
          <w:tblHeader w:val="false"/>
        </w:trPr>
        <w:tc>
          <w:tcPr>
            <w:tcW w:type="dxa" w:w="2501"/>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Mobidys</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c>
          <w:tcPr>
            <w:tcW w:type="dxa" w:w="1772"/>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Oui</w:t>
            </w:r>
          </w:p>
        </w:tc>
        <w:tc>
          <w:tcPr>
            <w:tcW w:type="dxa" w:w="1589"/>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Non</w:t>
            </w:r>
          </w:p>
        </w:tc>
      </w:tr>
      <w:tr>
        <w:trPr>
          <w:cantSplit/>
          <w:tblHeader w:val="false"/>
        </w:trPr>
        <w:tc>
          <w:tcPr>
            <w:tcW w:type="dxa" w:w="2501"/>
            <w:tcBorders>
              <w:top w:val="none" w:color="auto" w:sz="0"/>
              <w:left w:val="none" w:color="auto" w:sz="0"/>
              <w:bottom w:val="single" w:color="333635" w:sz="12"/>
              <w:right w:val="none" w:color="auto" w:sz="0"/>
            </w:tcBorders>
            <w:shd w:fill="E9EDEF" w:color="auto" w:val="clear"/>
            <w:tcMar>
              <w:top w:type="dxa" w:w="80"/>
              <w:left w:type="dxa" w:w="6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Les Gardiens du Monde</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772"/>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c>
          <w:tcPr>
            <w:tcW w:type="dxa" w:w="1589"/>
            <w:tcBorders>
              <w:top w:val="none" w:color="auto" w:sz="0"/>
              <w:left w:val="none" w:color="auto" w:sz="0"/>
              <w:bottom w:val="single" w:color="333635" w:sz="12"/>
              <w:right w:val="none" w:color="auto" w:sz="0"/>
            </w:tcBorders>
            <w:shd w:fill="E9EDEF" w:color="auto" w:val="clear"/>
            <w:tcMar>
              <w:top w:type="dxa" w:w="80"/>
              <w:left w:type="dxa" w:w="110"/>
              <w:bottom w:type="dxa" w:w="80"/>
              <w:right w:type="dxa" w:w="110"/>
            </w:tcMar>
            <w:vAlign w:val="top"/>
          </w:tcPr>
          <w:p>
            <w:pPr>
              <w:spacing w:after="0" w:line="252"/>
              <w:jc w:val="left"/>
            </w:pPr>
            <w:r>
              <w:rPr>
                <w:rFonts w:ascii="Montserrat" w:cs="Montserrat" w:eastAsia="Montserrat" w:hAnsi="Montserrat"/>
                <w:b/>
                <w:bCs/>
                <w:color w:val="173347"/>
                <w:sz w:val="15"/>
                <w:szCs w:val="15"/>
              </w:rPr>
              <w:t xml:space="preserve">Oui</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POSITIONNEMENTS EN PRÉSENCE</w:t>
      </w:r>
    </w:p>
    <w:p>
      <w:pPr>
        <w:spacing w:after="140" w:line="288"/>
        <w:jc w:val="both"/>
      </w:pPr>
      <w:r>
        <w:rPr>
          <w:rFonts w:ascii="Montserrat" w:cs="Montserrat" w:eastAsia="Montserrat" w:hAnsi="Montserrat"/>
          <w:color w:val="58595B"/>
          <w:sz w:val="18"/>
          <w:szCs w:val="18"/>
        </w:rPr>
        <w:t xml:space="preserve">Ecoville et Clim'City se positionnent en simulations environnementales gratuites : sérieuses, validées, mais sans personnage ni choix moral incarné. Vinz et Lou occupe le créneau de la sensibilisation ludique généraliste, avec un traitement partiel du thème et de la narration. Mobidys se positionne en spécialiste payant de la lecture accessible, avec l'expertise TND la plus crédible du marché, mais sans contenu environnemental.</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ALTERNATIVES RÉELLES DE L'ENSEIGNANT</w:t>
      </w:r>
    </w:p>
    <w:p>
      <w:pPr>
        <w:spacing w:after="140" w:line="288"/>
        <w:jc w:val="both"/>
      </w:pPr>
      <w:r>
        <w:rPr>
          <w:rFonts w:ascii="Montserrat" w:cs="Montserrat" w:eastAsia="Montserrat" w:hAnsi="Montserrat"/>
          <w:color w:val="58595B"/>
          <w:sz w:val="18"/>
          <w:szCs w:val="18"/>
        </w:rPr>
        <w:t xml:space="preserve">Le concurrent le plus sérieux n'est pas toujours un produit. Quand un enseignant renonce à une ressource payante, il se rabat sur des solutions gratuites : ressources des portails, vidéos en ligne, manuel numérique déjà financé, ou activités qu'il crée lui-même. Cette dernière option est la plus fréquente et la plus difficile à concurrencer : elle ne coûte que du temps de préparation, une dépense invisible au budget.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2084"/>
        <w:gridCol w:w="1980"/>
        <w:gridCol w:w="2397"/>
        <w:gridCol w:w="2945"/>
      </w:tblGrid>
      <w:tr>
        <w:trPr>
          <w:cantSplit/>
          <w:tblHeader/>
        </w:trPr>
        <w:tc>
          <w:tcPr>
            <w:tcW w:type="dxa" w:w="2084"/>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ALTERNATIVE</w:t>
            </w:r>
          </w:p>
        </w:tc>
        <w:tc>
          <w:tcPr>
            <w:tcW w:type="dxa" w:w="198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COÛT POUR L'ÉTABLISSEMENT</w:t>
            </w:r>
          </w:p>
        </w:tc>
        <w:tc>
          <w:tcPr>
            <w:tcW w:type="dxa" w:w="239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MODÈLE ET DISTRIBUTION</w:t>
            </w:r>
          </w:p>
        </w:tc>
        <w:tc>
          <w:tcPr>
            <w:tcW w:type="dxa" w:w="2945"/>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LIMITE PRINCIPALE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Ressources des portails institutionnels</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Financement public, diffusion par Éduthèque, Canopé, Lumni</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Rarement narratif, accessibilité TND peu traitée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Vidéos en ligne</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Publicitaire ou institutionnel, plateformes grand public</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Passif, aucun choix de l'élève, qualité inégale</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Manuel numérique</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Déjà financé, environ 7 € par élève</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Abonnement éditeur, marché public ou achat direct</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Format non ludique, traitement standard de l'EDD</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Activités créées par l'enseignant</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 au budget, coûteux en temps</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Production interne, partage entre collègues</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Chronophage, rarement adapté aux profils TND</w:t>
            </w:r>
          </w:p>
        </w:tc>
      </w:tr>
      <w:tr>
        <w:trPr>
          <w:cantSplit/>
          <w:tblHeader w:val="false"/>
        </w:trPr>
        <w:tc>
          <w:tcPr>
            <w:tcW w:type="dxa" w:w="2084"/>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Serious games gratuits (Ecoville, Clim'City)</w:t>
            </w:r>
          </w:p>
        </w:tc>
        <w:tc>
          <w:tcPr>
            <w:tcW w:type="dxa" w:w="198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Gratuit</w:t>
            </w:r>
          </w:p>
        </w:tc>
        <w:tc>
          <w:tcPr>
            <w:tcW w:type="dxa" w:w="239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Financement public ou associatif, accès web direct</w:t>
            </w:r>
          </w:p>
        </w:tc>
        <w:tc>
          <w:tcPr>
            <w:tcW w:type="dxa" w:w="2945"/>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Simulation sans récit, pas de conception accessible</w:t>
            </w:r>
          </w:p>
        </w:tc>
      </w:tr>
      <w:tr>
        <w:trPr>
          <w:cantSplit/>
          <w:tblHeader w:val="false"/>
        </w:trPr>
        <w:tc>
          <w:tcPr>
            <w:tcW w:type="dxa" w:w="2084"/>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Outils de lecture accessible (Mobidys)</w:t>
            </w:r>
          </w:p>
        </w:tc>
        <w:tc>
          <w:tcPr>
            <w:tcW w:type="dxa" w:w="198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Payant, licence établissement</w:t>
            </w:r>
          </w:p>
        </w:tc>
        <w:tc>
          <w:tcPr>
            <w:tcW w:type="dxa" w:w="239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Abonnement, vente directe aux établissements</w:t>
            </w:r>
          </w:p>
        </w:tc>
        <w:tc>
          <w:tcPr>
            <w:tcW w:type="dxa" w:w="2945"/>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 contenu environnemental</w:t>
            </w:r>
          </w:p>
        </w:tc>
      </w:tr>
    </w:tbl>
    <w:p>
      <w:pPr>
        <w:spacing w:after="220" w:before="0" w:line="240"/>
      </w:pPr>
    </w:p>
    <w:p>
      <w:pPr>
        <w:spacing w:after="140" w:line="288"/>
        <w:jc w:val="both"/>
      </w:pPr>
      <w:r>
        <w:rPr>
          <w:rFonts w:ascii="Montserrat" w:cs="Montserrat" w:eastAsia="Montserrat" w:hAnsi="Montserrat"/>
          <w:color w:val="58595B"/>
          <w:sz w:val="18"/>
          <w:szCs w:val="18"/>
        </w:rPr>
        <w:t xml:space="preserve">2 enseignements en découlent. D'abord, mon offre sera comparée à un prix de zéro, et non à celui de Mobidys, puisque la plupart des alternatives sont gratuites. L'abonnement doit donc se justifier par ce que la gratuité n'offre pas : un récit conçu pour la classe et une accessibilité native. Ensuite, le temps de préparation économisé est un vrai argument économique, même s'il n'apparaît sur aucune ligne budgétaire.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FORCES, FAIBLESSES ET DIFFÉRENCIATION</w:t>
      </w:r>
    </w:p>
    <w:p>
      <w:pPr>
        <w:spacing w:after="140" w:line="288"/>
        <w:jc w:val="both"/>
      </w:pPr>
      <w:r>
        <w:rPr>
          <w:rFonts w:ascii="Montserrat" w:cs="Montserrat" w:eastAsia="Montserrat" w:hAnsi="Montserrat"/>
          <w:color w:val="58595B"/>
          <w:sz w:val="18"/>
          <w:szCs w:val="18"/>
        </w:rPr>
        <w:t xml:space="preserve">La force commune des concurrents installés est leur notoriété et, pour les acteurs gratuits, leur référencement institutionnel. Leur limite commune : aucune offre identifiée ne dépasse 2 attributs sur 4. Aucune ne réunit à la fois un vrai récit, le thème écologique, une accessibilité native et la gratuité pour l'élève. C'est dans cet espace que se place le projet.</w:t>
      </w:r>
    </w:p>
    <w:p>
      <w:pPr>
        <w:spacing w:after="140" w:line="288"/>
        <w:jc w:val="both"/>
      </w:pPr>
      <w:r>
        <w:rPr>
          <w:rFonts w:ascii="Montserrat" w:cs="Montserrat" w:eastAsia="Montserrat" w:hAnsi="Montserrat"/>
          <w:color w:val="58595B"/>
          <w:sz w:val="18"/>
          <w:szCs w:val="18"/>
        </w:rPr>
        <w:t xml:space="preserve">Un acteur est à surveiller de près : Mobidys pourrait occuper ce positionnement s'il élargissait son catalogue vers l'environnement. Cette menace est reprise au chapitre 5.</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04</w:t>
            </w:r>
          </w:p>
          <w:p>
            <w:pPr>
              <w:pStyle w:val="Heading1"/>
              <w:keepNext/>
              <w:spacing w:after="0" w:before="0" w:line="700" w:lineRule="exact"/>
            </w:pPr>
            <w:bookmarkStart w:name="chap_4" w:id="105"/>
            <w:r>
              <w:rPr>
                <w:rFonts w:ascii="Oswald ExtraLight" w:cs="Oswald ExtraLight" w:eastAsia="Oswald ExtraLight" w:hAnsi="Oswald ExtraLight"/>
                <w:color w:val="173347"/>
                <w:sz w:val="64"/>
                <w:szCs w:val="64"/>
              </w:rPr>
              <w:t xml:space="preserve">ANALYSER</w:t>
            </w:r>
            <w:bookmarkEnd w:id="105"/>
            <w:r>
              <w:rPr>
                <w:rFonts w:ascii="Oswald" w:cs="Oswald" w:eastAsia="Oswald" w:hAnsi="Oswald"/>
                <w:b/>
                <w:bCs/>
                <w:color w:val="173347"/>
                <w:sz w:val="64"/>
                <w:szCs w:val="64"/>
              </w:rPr>
              <w:br/>
              <w:t xml:space="preserve">L'ENVIRONNEMENT</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04</w:t>
            </w:r>
          </w:p>
        </w:tc>
      </w:tr>
    </w:tbl>
    <w:p>
      <w:pPr>
        <w:pBdr>
          <w:bottom w:val="single" w:color="173347" w:sz="6"/>
        </w:pBdr>
        <w:spacing w:after="260" w:before="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1813"/>
        <w:gridCol w:w="3737"/>
        <w:gridCol w:w="3856"/>
      </w:tblGrid>
      <w:tr>
        <w:trPr>
          <w:cantSplit/>
          <w:tblHeader/>
        </w:trPr>
        <w:tc>
          <w:tcPr>
            <w:tcW w:type="dxa" w:w="181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FACTEUR</w:t>
            </w:r>
          </w:p>
        </w:tc>
        <w:tc>
          <w:tcPr>
            <w:tcW w:type="dxa" w:w="3737"/>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CONSTAT</w:t>
            </w:r>
          </w:p>
        </w:tc>
        <w:tc>
          <w:tcPr>
            <w:tcW w:type="dxa" w:w="3856"/>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IMPACT SUR LE PROJET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Politique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L'EDD est inscrite aux programmes ; l'inclusion des élèves TND est une priorité nationale ; la circulaire du 10 juillet 2025 impose un numérique raisonné au collège.</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Double alignement avec les priorités publiques. La circulaire limite le temps d'écran, mais favorise un jeu court, joué en une séance avec l'enseignant.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Économique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Budgets des collèges contraints ; toute dépense au-delà de 1 000 € passe en conseil d'administration.</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tarification est construite sous ce seuil pour permettre une décision rapide au niveau de la direction.</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Sociologique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Forte sensibilité écologique des jeunes ; attente d'une inclusion effective ; méfiance envers la collecte de données d'élèves.</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thème et l'accessibilité rencontrent des attentes réelles ; l'absence de collecte devient un argument.</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Technologique</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Parc informatique hétérogène et vieillissant ; export web mature de Ren'Py ; génération assistée moins coûteuse.</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La version navigateur est indispensable ; les coûts de production restent soutenables en solo.</w:t>
            </w:r>
          </w:p>
        </w:tc>
      </w:tr>
      <w:tr>
        <w:trPr>
          <w:cantSplit/>
          <w:tblHeader w:val="false"/>
        </w:trPr>
        <w:tc>
          <w:tcPr>
            <w:tcW w:type="dxa" w:w="181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Environnemental</w:t>
            </w:r>
          </w:p>
        </w:tc>
        <w:tc>
          <w:tcPr>
            <w:tcW w:type="dxa" w:w="3737"/>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Exigence montante de sobriété numérique dans l'éducation.</w:t>
            </w:r>
          </w:p>
        </w:tc>
        <w:tc>
          <w:tcPr>
            <w:tcW w:type="dxa" w:w="3856"/>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Un jeu léger, jouable hors connexion une fois chargé, incarne le propos qu'il enseigne.</w:t>
            </w:r>
          </w:p>
        </w:tc>
      </w:tr>
      <w:tr>
        <w:trPr>
          <w:cantSplit/>
          <w:tblHeader w:val="false"/>
        </w:trPr>
        <w:tc>
          <w:tcPr>
            <w:tcW w:type="dxa" w:w="181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Légal</w:t>
            </w:r>
          </w:p>
        </w:tc>
        <w:tc>
          <w:tcPr>
            <w:tcW w:type="dxa" w:w="3737"/>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 RGPD protège les données des mineurs ; le téléphone portable est interdit au collège, sauf usage pédagogique.</w:t>
            </w:r>
          </w:p>
        </w:tc>
        <w:tc>
          <w:tcPr>
            <w:tcW w:type="dxa" w:w="3856"/>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donnée collectée, donc aucun dossier de conformité. Le jeu se joue sur les postes de l'établissement, jamais sur le téléphone de l'élève.</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05</w:t>
            </w:r>
          </w:p>
          <w:p>
            <w:pPr>
              <w:pStyle w:val="Heading1"/>
              <w:keepNext/>
              <w:spacing w:after="0" w:before="0" w:line="700" w:lineRule="exact"/>
            </w:pPr>
            <w:bookmarkStart w:name="chap_5" w:id="106"/>
            <w:r>
              <w:rPr>
                <w:rFonts w:ascii="Oswald ExtraLight" w:cs="Oswald ExtraLight" w:eastAsia="Oswald ExtraLight" w:hAnsi="Oswald ExtraLight"/>
                <w:color w:val="173347"/>
                <w:sz w:val="64"/>
                <w:szCs w:val="64"/>
              </w:rPr>
              <w:t xml:space="preserve">IDENTIFIER</w:t>
            </w:r>
            <w:bookmarkEnd w:id="106"/>
            <w:r>
              <w:rPr>
                <w:rFonts w:ascii="Oswald" w:cs="Oswald" w:eastAsia="Oswald" w:hAnsi="Oswald"/>
                <w:b/>
                <w:bCs/>
                <w:color w:val="173347"/>
                <w:sz w:val="64"/>
                <w:szCs w:val="64"/>
              </w:rPr>
              <w:br/>
              <w:t xml:space="preserve">L'OPPORTUNITÉ</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05</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Une opportunité doit se démontrer à partir de l'analyse. 3 constats issus des chapitres précédents la fondent.</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demande</w:t>
      </w:r>
      <w:r>
        <w:rPr>
          <w:rFonts w:ascii="Montserrat" w:cs="Montserrat" w:eastAsia="Montserrat" w:hAnsi="Montserrat"/>
          <w:color w:val="58595B"/>
          <w:sz w:val="18"/>
          <w:szCs w:val="18"/>
        </w:rPr>
        <w:t xml:space="preserve"> : les enseignants cherchent des ressources d'EDD engageantes et prêtes à l'emploi ; les élèves TND ont besoin de contenus accessibles sans stigmatisation.</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offre</w:t>
      </w:r>
      <w:r>
        <w:rPr>
          <w:rFonts w:ascii="Montserrat" w:cs="Montserrat" w:eastAsia="Montserrat" w:hAnsi="Montserrat"/>
          <w:color w:val="58595B"/>
          <w:sz w:val="18"/>
          <w:szCs w:val="18"/>
        </w:rPr>
        <w:t xml:space="preserve"> : parmi les 21 acteurs recensés, aucune offre identifiée ne combine récit interactif, thème écologique, accessibilité native et gratuité pour l'élève.</w:t>
      </w:r>
    </w:p>
    <w:p>
      <w:pPr>
        <w:pStyle w:val="ListParagraph"/>
        <w:numPr>
          <w:ilvl w:val="0"/>
          <w:numId w:val="2"/>
        </w:numPr>
        <w:spacing w:after="90" w:line="276"/>
        <w:jc w:val="left"/>
      </w:pPr>
      <w:r>
        <w:rPr>
          <w:rFonts w:ascii="Montserrat" w:cs="Montserrat" w:eastAsia="Montserrat" w:hAnsi="Montserrat"/>
          <w:b/>
          <w:bCs/>
          <w:color w:val="333635"/>
          <w:sz w:val="18"/>
          <w:szCs w:val="18"/>
        </w:rPr>
        <w:t xml:space="preserve">Côté environnement</w:t>
      </w:r>
      <w:r>
        <w:rPr>
          <w:rFonts w:ascii="Montserrat" w:cs="Montserrat" w:eastAsia="Montserrat" w:hAnsi="Montserrat"/>
          <w:color w:val="58595B"/>
          <w:sz w:val="18"/>
          <w:szCs w:val="18"/>
        </w:rPr>
        <w:t xml:space="preserve"> : la rencontre de 2 priorités publiques, l'inclusion TND et l'EDD, renforce la demande pour un outil qui les combine</w:t>
      </w:r>
      <w:r>
        <w:rPr>
          <w:rFonts w:ascii="Montserrat" w:cs="Montserrat" w:eastAsia="Montserrat" w:hAnsi="Montserrat"/>
          <w:color w:val="58595B"/>
          <w:sz w:val="18"/>
          <w:szCs w:val="18"/>
        </w:rPr>
        <w:t xml:space="preserv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PERTINENCE DU FORMAT</w:t>
      </w:r>
    </w:p>
    <w:p>
      <w:pPr>
        <w:spacing w:after="140" w:line="288"/>
        <w:jc w:val="both"/>
      </w:pPr>
      <w:r>
        <w:rPr>
          <w:rFonts w:ascii="Montserrat" w:cs="Montserrat" w:eastAsia="Montserrat" w:hAnsi="Montserrat"/>
          <w:color w:val="58595B"/>
          <w:sz w:val="18"/>
          <w:szCs w:val="18"/>
        </w:rPr>
        <w:t xml:space="preserve">Le choix du visual novel ne repose pas seulement sur l'absence d'offre concurrente. Une étude évaluée par les pairs (</w:t>
      </w:r>
      <w:r>
        <w:rPr>
          <w:rFonts w:ascii="Montserrat" w:cs="Montserrat" w:eastAsia="Montserrat" w:hAnsi="Montserrat"/>
          <w:color w:val="58595B"/>
          <w:sz w:val="18"/>
          <w:szCs w:val="18"/>
        </w:rPr>
        <w:t xml:space="preserve">Replaying</w:t>
      </w:r>
      <w:r>
        <w:rPr>
          <w:rFonts w:ascii="Montserrat" w:cs="Montserrat" w:eastAsia="Montserrat" w:hAnsi="Montserrat"/>
          <w:color w:val="58595B"/>
          <w:sz w:val="18"/>
          <w:szCs w:val="18"/>
        </w:rPr>
        <w:t xml:space="preserve"> Japan) a analysé le potentiel éducatif de ce genre et en a tiré des principes de conception.</w:t>
      </w:r>
    </w:p>
    <w:p>
      <w:pPr>
        <w:spacing w:after="140" w:line="288"/>
        <w:jc w:val="both"/>
      </w:pPr>
      <w:r>
        <w:rPr>
          <w:rFonts w:ascii="Montserrat" w:cs="Montserrat" w:eastAsia="Montserrat" w:hAnsi="Montserrat"/>
          <w:color w:val="58595B"/>
          <w:sz w:val="18"/>
          <w:szCs w:val="18"/>
        </w:rPr>
        <w:t xml:space="preserve">Elle en retient 6 : un accès facile au contenu, des notions illustrées par des exemples concrets, des personnages auxquels s'identifier, des récits à embranchements, une structure claire et des objectifs d'évaluation explicites.</w:t>
      </w:r>
    </w:p>
    <w:p>
      <w:pPr>
        <w:spacing w:after="140" w:line="288"/>
        <w:jc w:val="both"/>
      </w:pPr>
      <w:r>
        <w:rPr>
          <w:rFonts w:ascii="Montserrat" w:cs="Montserrat" w:eastAsia="Montserrat" w:hAnsi="Montserrat"/>
          <w:color w:val="58595B"/>
          <w:sz w:val="18"/>
          <w:szCs w:val="18"/>
        </w:rPr>
        <w:t xml:space="preserve">Ces principes rejoignent les 5 clés pédagogiques du chapitre 2. Un format qui répond à la fois aux recommandations pour les élèves TND et à la recherche sur les jeux narratifs a de bonnes chances de convenir à toute la classe. C'est l'hypothèse centrale du projet.</w:t>
      </w:r>
    </w:p>
    <w:p>
      <w:pPr>
        <w:spacing w:after="140" w:line="288"/>
        <w:jc w:val="both"/>
      </w:pPr>
      <w:r>
        <w:rPr>
          <w:rFonts w:ascii="Montserrat" w:cs="Montserrat" w:eastAsia="Montserrat" w:hAnsi="Montserrat"/>
          <w:color w:val="58595B"/>
          <w:sz w:val="18"/>
          <w:szCs w:val="18"/>
        </w:rPr>
        <w:t xml:space="preserve">La recherche francophone sur les jeux sérieux ajoute 2 nuances. Un jeu d'éducation au développement durable doit éviter de culpabiliser : il présente des conséquences et des compromis plutôt qu'une bonne réponse. Un jeu éducatif demande aussi de croiser pédagogie et game design, ce qu'un portage solo devra compenser par la validation externe prévue au chapitre 7. Ces 2 références sont citées sous réserve.</w:t>
      </w:r>
    </w:p>
    <w:p>
      <w:pPr>
        <w:pStyle w:val="Heading2"/>
        <w:keepNext/>
        <w:pageBreakBefore/>
        <w:pBdr>
          <w:left w:val="single" w:color="87ADBA" w:sz="24" w:space="8"/>
        </w:pBdr>
        <w:spacing w:after="110" w:before="0"/>
        <w:ind w:left="170"/>
      </w:pPr>
      <w:r>
        <w:rPr>
          <w:rFonts w:ascii="Montserrat" w:cs="Montserrat" w:eastAsia="Montserrat" w:hAnsi="Montserrat"/>
          <w:b/>
          <w:bCs/>
          <w:color w:val="333635"/>
          <w:spacing w:val="10"/>
          <w:sz w:val="20"/>
          <w:szCs w:val="20"/>
        </w:rPr>
        <w:t xml:space="preserve">LE SWOT</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4703"/>
        <w:gridCol w:w="4703"/>
      </w:tblGrid>
      <w:tr>
        <w:trPr>
          <w:cantSplit/>
          <w:tblHeader/>
        </w:trPr>
        <w:tc>
          <w:tcPr>
            <w:tcW w:type="dxa" w:w="470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FORCES</w:t>
            </w:r>
          </w:p>
        </w:tc>
        <w:tc>
          <w:tcPr>
            <w:tcW w:type="dxa" w:w="470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FAIBLESSES</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Positionnement non couvert par les offres identifiées</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Projet porté par une seule personne, capacité de production limitée</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Gratuité pour l'élève, financée par un abonnement établissement calibré sous le seuil des 1 000 €</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donnée primaire collectée à ce stade</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Accessibilité intégrée dès la conception</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Aucune notoriété ni caution institutionnelle</w:t>
            </w:r>
          </w:p>
        </w:tc>
      </w:tr>
      <w:tr>
        <w:trPr>
          <w:cantSplit/>
          <w:tblHeader w:val="false"/>
        </w:trPr>
        <w:tc>
          <w:tcPr>
            <w:tcW w:type="dxa" w:w="470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Aucune collecte de données personnelles</w:t>
            </w:r>
          </w:p>
        </w:tc>
        <w:tc>
          <w:tcPr>
            <w:tcW w:type="dxa" w:w="470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Dépendance au renouvellement annuel des abonnements</w:t>
            </w:r>
          </w:p>
        </w:tc>
      </w:tr>
    </w:tbl>
    <w:p>
      <w:pPr>
        <w:spacing w:after="220" w:before="0" w:line="24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4703"/>
        <w:gridCol w:w="4703"/>
      </w:tblGrid>
      <w:tr>
        <w:trPr>
          <w:cantSplit/>
          <w:tblHeader/>
        </w:trPr>
        <w:tc>
          <w:tcPr>
            <w:tcW w:type="dxa" w:w="470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OPPORTUNITÉS</w:t>
            </w:r>
          </w:p>
        </w:tc>
        <w:tc>
          <w:tcPr>
            <w:tcW w:type="dxa" w:w="470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MENACES</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Convergence temporaire des priorités inclusion TND et éducation au développement durable</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Entrée d'un acteur établi de l'accessibilité (Mobidys) sur le créneau environnemental</w:t>
            </w:r>
          </w:p>
        </w:tc>
      </w:tr>
      <w:tr>
        <w:trPr>
          <w:cantSplit/>
          <w:tblHeader w:val="false"/>
        </w:trPr>
        <w:tc>
          <w:tcPr>
            <w:tcW w:type="dxa" w:w="470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Faiblesse commune des concurrents sur la forme narrative et l'accessibilité</w:t>
            </w:r>
          </w:p>
        </w:tc>
        <w:tc>
          <w:tcPr>
            <w:tcW w:type="dxa" w:w="470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Hétérogénéité du parc matériel, risque de blocage technique</w:t>
            </w:r>
          </w:p>
        </w:tc>
      </w:tr>
      <w:tr>
        <w:trPr>
          <w:cantSplit/>
          <w:tblHeader w:val="false"/>
        </w:trPr>
        <w:tc>
          <w:tcPr>
            <w:tcW w:type="dxa" w:w="470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Référencement possible sur un portail éducatif à forte audience</w:t>
            </w:r>
          </w:p>
        </w:tc>
        <w:tc>
          <w:tcPr>
            <w:tcW w:type="dxa" w:w="470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Marché réel plus petit que les projections si la demande primaire infirme l'analyse</w:t>
            </w:r>
          </w:p>
        </w:tc>
      </w:tr>
    </w:tbl>
    <w:p>
      <w:pPr>
        <w:spacing w:after="220" w:before="0" w:line="240"/>
      </w:pP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06</w:t>
            </w:r>
          </w:p>
          <w:p>
            <w:pPr>
              <w:pStyle w:val="Heading1"/>
              <w:keepNext/>
              <w:spacing w:after="0" w:before="0" w:line="700" w:lineRule="exact"/>
            </w:pPr>
            <w:bookmarkStart w:name="chap_6" w:id="107"/>
            <w:r>
              <w:rPr>
                <w:rFonts w:ascii="Oswald ExtraLight" w:cs="Oswald ExtraLight" w:eastAsia="Oswald ExtraLight" w:hAnsi="Oswald ExtraLight"/>
                <w:color w:val="173347"/>
                <w:sz w:val="64"/>
                <w:szCs w:val="64"/>
              </w:rPr>
              <w:t xml:space="preserve">FORMULER</w:t>
            </w:r>
            <w:bookmarkEnd w:id="107"/>
            <w:r>
              <w:rPr>
                <w:rFonts w:ascii="Oswald" w:cs="Oswald" w:eastAsia="Oswald" w:hAnsi="Oswald"/>
                <w:b/>
                <w:bCs/>
                <w:color w:val="173347"/>
                <w:sz w:val="64"/>
                <w:szCs w:val="64"/>
              </w:rPr>
              <w:br/>
              <w:t xml:space="preserve">LES RECOMMANDATIONS</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06</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CIBLE PRIORITAIRE</w:t>
      </w:r>
    </w:p>
    <w:p>
      <w:pPr>
        <w:spacing w:after="140" w:line="288"/>
        <w:jc w:val="both"/>
      </w:pPr>
      <w:r>
        <w:rPr>
          <w:rFonts w:ascii="Montserrat" w:cs="Montserrat" w:eastAsia="Montserrat" w:hAnsi="Montserrat"/>
          <w:color w:val="58595B"/>
          <w:sz w:val="18"/>
          <w:szCs w:val="18"/>
        </w:rPr>
        <w:t xml:space="preserve">Je recommande de cibler en priorité les enseignants de SVT, d'histoire-géographie et les professeurs documentalistes des collèges de l'académie de Lille. Ils sont prescripteurs, et leur proximité permet un accompagnement direct au lancement.</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L'OFFRE ET LE POSITIONNEMENT</w:t>
      </w:r>
    </w:p>
    <w:p>
      <w:pPr>
        <w:spacing w:after="140" w:line="288"/>
        <w:jc w:val="both"/>
      </w:pPr>
      <w:r>
        <w:rPr>
          <w:rFonts w:ascii="Montserrat" w:cs="Montserrat" w:eastAsia="Montserrat" w:hAnsi="Montserrat"/>
          <w:color w:val="58595B"/>
          <w:sz w:val="18"/>
          <w:szCs w:val="18"/>
        </w:rPr>
        <w:t xml:space="preserve">L'offre recommandée est un jeu jouable en une séance, en navigateur, avec une accessibilité native et un paramétrage discret. Son positionnement est développé dans le Livrable 4 : un jeu narratif éducatif qui rend l'éco-responsabilité accessible aux collégiens TND, gratuit pour les élèves et leurs familles, sur un créneau qu'aucune offre identifiée n'occupe aujourd'hui.</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PRIX</w:t>
      </w:r>
    </w:p>
    <w:tbl>
      <w:tblPr>
        <w:tblW w:type="dxa" w:w="9406"/>
        <w:tblBorders>
          <w:top w:val="none" w:color="auto" w:sz="0"/>
          <w:left w:val="none" w:color="auto" w:sz="0"/>
          <w:bottom w:val="none" w:color="auto" w:sz="0"/>
          <w:right w:val="none" w:color="auto" w:sz="0"/>
          <w:insideH w:val="none" w:color="auto" w:sz="0"/>
          <w:insideV w:val="single" w:color="354658" w:sz="4"/>
        </w:tblBorders>
        <w:tblLayout w:type="fixed"/>
      </w:tblPr>
      <w:tblGrid>
        <w:gridCol w:w="3135"/>
        <w:gridCol w:w="3135"/>
        <w:gridCol w:w="3136"/>
      </w:tblGrid>
      <w:tr>
        <w:trPr>
          <w:cantSplit/>
        </w:trPr>
        <w:tc>
          <w:tcPr>
            <w:tcW w:type="dxa" w:w="3135"/>
            <w:tcBorders>
              <w:top w:val="none" w:color="auto" w:sz="0"/>
              <w:left w:val="none" w:color="auto" w:sz="0"/>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450-950 €</w:t>
            </w:r>
          </w:p>
          <w:p>
            <w:pPr>
              <w:spacing w:after="0" w:line="252"/>
            </w:pPr>
            <w:r>
              <w:rPr>
                <w:rFonts w:ascii="Montserrat" w:cs="Montserrat" w:eastAsia="Montserrat" w:hAnsi="Montserrat"/>
                <w:b/>
                <w:bCs/>
                <w:color w:val="A7C1CB"/>
                <w:spacing w:val="10"/>
                <w:sz w:val="13"/>
                <w:szCs w:val="13"/>
              </w:rPr>
              <w:t xml:space="preserve">ABONNEMENT ANNUEL SELON LE NOMBRE DE CLASSES</w:t>
            </w:r>
          </w:p>
        </w:tc>
        <w:tc>
          <w:tcPr>
            <w:tcW w:type="dxa" w:w="3135"/>
            <w:tcBorders>
              <w:top w:val="none" w:color="auto" w:sz="0"/>
              <w:left w:val="single" w:color="354658" w:sz="4"/>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3,20 à 9 €</w:t>
            </w:r>
          </w:p>
          <w:p>
            <w:pPr>
              <w:spacing w:after="0" w:line="252"/>
            </w:pPr>
            <w:r>
              <w:rPr>
                <w:rFonts w:ascii="Montserrat" w:cs="Montserrat" w:eastAsia="Montserrat" w:hAnsi="Montserrat"/>
                <w:b/>
                <w:bCs/>
                <w:color w:val="A7C1CB"/>
                <w:spacing w:val="10"/>
                <w:sz w:val="13"/>
                <w:szCs w:val="13"/>
              </w:rPr>
              <w:t xml:space="preserve">PAR ÉLÈVE ET PAR AN SELON LA TAILLE DU DÉPLOIEMENT</w:t>
            </w:r>
          </w:p>
        </w:tc>
        <w:tc>
          <w:tcPr>
            <w:tcW w:type="dxa" w:w="3136"/>
            <w:tcBorders>
              <w:top w:val="none" w:color="auto" w:sz="0"/>
              <w:left w:val="single" w:color="354658" w:sz="4"/>
              <w:bottom w:val="none" w:color="auto" w:sz="0"/>
              <w:right w:val="none" w:color="auto" w:sz="0"/>
            </w:tcBorders>
            <w:shd w:fill="173347" w:color="auto" w:val="clear"/>
            <w:tcMar>
              <w:top w:type="dxa" w:w="260"/>
              <w:left w:type="dxa" w:w="240"/>
              <w:bottom w:type="dxa" w:w="170"/>
              <w:right w:type="dxa" w:w="200"/>
            </w:tcMar>
          </w:tcPr>
          <w:p>
            <w:pPr>
              <w:spacing w:after="40" w:line="240"/>
            </w:pPr>
            <w:r>
              <w:rPr>
                <w:rFonts w:ascii="Oswald" w:cs="Oswald" w:eastAsia="Oswald" w:hAnsi="Oswald"/>
                <w:b/>
                <w:bCs/>
                <w:color w:val="FFFFFF"/>
                <w:sz w:val="50"/>
                <w:szCs w:val="50"/>
              </w:rPr>
              <w:t xml:space="preserve">~ 7 €</w:t>
            </w:r>
          </w:p>
          <w:p>
            <w:pPr>
              <w:spacing w:after="0" w:line="252"/>
            </w:pPr>
            <w:r>
              <w:rPr>
                <w:rFonts w:ascii="Montserrat" w:cs="Montserrat" w:eastAsia="Montserrat" w:hAnsi="Montserrat"/>
                <w:b/>
                <w:bCs/>
                <w:color w:val="A7C1CB"/>
                <w:spacing w:val="10"/>
                <w:sz w:val="13"/>
                <w:szCs w:val="13"/>
              </w:rPr>
              <w:t xml:space="preserve">REPÈRE DU MANUEL NUMÉRIQUE PAR ÉLÈVE (HATIER)</w:t>
            </w:r>
          </w:p>
        </w:tc>
      </w:tr>
    </w:tbl>
    <w:p>
      <w:pPr>
        <w:spacing w:after="200" w:before="0" w:line="240"/>
      </w:pPr>
    </w:p>
    <w:p>
      <w:pPr>
        <w:spacing w:after="140" w:line="288"/>
        <w:jc w:val="both"/>
      </w:pPr>
      <w:r>
        <w:rPr>
          <w:rFonts w:ascii="Montserrat" w:cs="Montserrat" w:eastAsia="Montserrat" w:hAnsi="Montserrat"/>
          <w:b/>
          <w:bCs/>
          <w:color w:val="333635"/>
          <w:sz w:val="18"/>
          <w:szCs w:val="18"/>
        </w:rPr>
        <w:t xml:space="preserve">Statut de ce prix. </w:t>
      </w:r>
      <w:r>
        <w:rPr>
          <w:rFonts w:ascii="Montserrat" w:cs="Montserrat" w:eastAsia="Montserrat" w:hAnsi="Montserrat"/>
          <w:color w:val="58595B"/>
          <w:sz w:val="18"/>
          <w:szCs w:val="18"/>
        </w:rPr>
        <w:t xml:space="preserve">Ces montants sont une hypothèse de travail. Ils reposent sur 2 contraintes vérifiées, le seuil du conseil d'administration et le repère du manuel numérique, mais aucun établissement ne les a encore validés.</w:t>
      </w:r>
    </w:p>
    <w:p>
      <w:pPr>
        <w:spacing w:after="140" w:line="288"/>
        <w:jc w:val="both"/>
      </w:pPr>
      <w:r>
        <w:rPr>
          <w:rFonts w:ascii="Montserrat" w:cs="Montserrat" w:eastAsia="Montserrat" w:hAnsi="Montserrat"/>
          <w:color w:val="58595B"/>
          <w:sz w:val="18"/>
          <w:szCs w:val="18"/>
        </w:rPr>
        <w:t xml:space="preserve">Chaque palier reste sous le seuil des 1 000 € du conseil d'administration, ce qui raccourcit le cycle de décision. Le coût par élève se compare aussi favorablement au manuel numérique, à condition d'inscrire assez de classes.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UNE LIMITE DU MODÈLE DE PALIERS</w:t>
      </w:r>
    </w:p>
    <w:p>
      <w:pPr>
        <w:spacing w:after="140" w:line="288"/>
        <w:jc w:val="both"/>
      </w:pPr>
      <w:r>
        <w:rPr>
          <w:rFonts w:ascii="Montserrat" w:cs="Montserrat" w:eastAsia="Montserrat" w:hAnsi="Montserrat"/>
          <w:color w:val="58595B"/>
          <w:sz w:val="18"/>
          <w:szCs w:val="18"/>
        </w:rPr>
        <w:t xml:space="preserve">Ramené à l'élève, le prix varie fortement. Un collège qui inscrit 12 classes au palier haut paie environ 3,20 € par élève. Avec 2 classes au palier bas, il paie environ 9 €, soit plus que le manuel numérique. Or les premiers utilisateurs seront sans doute des enseignants isolés, avec 1 ou 2 classes.</w:t>
      </w:r>
    </w:p>
    <w:p>
      <w:pPr>
        <w:spacing w:after="140" w:line="288"/>
        <w:jc w:val="both"/>
      </w:pPr>
      <w:r>
        <w:rPr>
          <w:rFonts w:ascii="Montserrat" w:cs="Montserrat" w:eastAsia="Montserrat" w:hAnsi="Montserrat"/>
          <w:color w:val="58595B"/>
          <w:sz w:val="18"/>
          <w:szCs w:val="18"/>
        </w:rPr>
        <w:t xml:space="preserve">2 corrections sont possibles : abaisser le palier d'entrée, ou tarifer à la classe plutôt qu'à l'établissement. Le questionnaire permettra de trancher. D'ici là, le coût par élève est présenté comme une fourchette.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CANAUX ET LA COMMUNICATION</w:t>
      </w:r>
    </w:p>
    <w:p>
      <w:pPr>
        <w:spacing w:after="140" w:line="288"/>
        <w:jc w:val="both"/>
      </w:pPr>
      <w:r>
        <w:rPr>
          <w:rFonts w:ascii="Montserrat" w:cs="Montserrat" w:eastAsia="Montserrat" w:hAnsi="Montserrat"/>
          <w:color w:val="58595B"/>
          <w:sz w:val="18"/>
          <w:szCs w:val="18"/>
        </w:rPr>
        <w:t xml:space="preserve">La diffusion repose sur 3 canaux, par ordre de priorité. Le bouche-à-oreille enseignant est le seul canal disponible sans budget. Le référencement sur les portails institutionnels (Éduthèque, Canopé, Lumni) est le plus rentable, mais le moins maîtrisable. La caution des associations TND légitime les choix de conception. Les salons restent ponctuels, car coûteux en temps. La communication mise sur la démonstration : jouer une séance devant les enseignants plutôt que la décrire.</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CONDITIONS DE RÉUSSITE ET LES RISQUES</w:t>
      </w:r>
    </w:p>
    <w:p>
      <w:pPr>
        <w:spacing w:after="140" w:line="288"/>
        <w:jc w:val="both"/>
      </w:pPr>
      <w:r>
        <w:rPr>
          <w:rFonts w:ascii="Montserrat" w:cs="Montserrat" w:eastAsia="Montserrat" w:hAnsi="Montserrat"/>
          <w:color w:val="58595B"/>
          <w:sz w:val="18"/>
          <w:szCs w:val="18"/>
        </w:rPr>
        <w:t xml:space="preserve">3 conditions déterminent la réussite : une version navigateur aboutie, au moins une caution externe, et une exécution rapide avant qu'un acteur établi n'occupe le créneau. 3 risques leur répondent : l'arrivée de Mobidys sur le thème environnemental, un marché plus petit que prévu, et la capacité limitée d'un portage solo.</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DIMENSIONNEMENT ET LE CHIFFRE D'AFFAIRES</w:t>
      </w:r>
    </w:p>
    <w:p>
      <w:pPr>
        <w:spacing w:after="140" w:line="288"/>
        <w:jc w:val="both"/>
      </w:pPr>
      <w:r>
        <w:rPr>
          <w:rFonts w:ascii="Montserrat" w:cs="Montserrat" w:eastAsia="Montserrat" w:hAnsi="Montserrat"/>
          <w:color w:val="58595B"/>
          <w:sz w:val="18"/>
          <w:szCs w:val="18"/>
        </w:rPr>
        <w:t xml:space="preserve">Le tableau ci-dessous traduit les projections en établissements, classes, élèves et chiffre d'affaires. Chaque ligne peut ainsi être recalculée.</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3066"/>
        <w:gridCol w:w="3170"/>
        <w:gridCol w:w="3170"/>
      </w:tblGrid>
      <w:tr>
        <w:trPr>
          <w:cantSplit/>
          <w:tblHeader/>
        </w:trPr>
        <w:tc>
          <w:tcPr>
            <w:tcW w:type="dxa" w:w="3066"/>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
            </w:r>
          </w:p>
        </w:tc>
        <w:tc>
          <w:tcPr>
            <w:tcW w:type="dxa" w:w="317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right"/>
            </w:pPr>
            <w:r>
              <w:rPr>
                <w:rFonts w:ascii="Montserrat" w:cs="Montserrat" w:eastAsia="Montserrat" w:hAnsi="Montserrat"/>
                <w:b/>
                <w:bCs/>
                <w:color w:val="333635"/>
                <w:spacing w:val="10"/>
                <w:sz w:val="14"/>
                <w:szCs w:val="14"/>
              </w:rPr>
              <w:t xml:space="preserve">ANNÉE 1</w:t>
            </w:r>
          </w:p>
        </w:tc>
        <w:tc>
          <w:tcPr>
            <w:tcW w:type="dxa" w:w="317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right"/>
            </w:pPr>
            <w:r>
              <w:rPr>
                <w:rFonts w:ascii="Montserrat" w:cs="Montserrat" w:eastAsia="Montserrat" w:hAnsi="Montserrat"/>
                <w:b/>
                <w:bCs/>
                <w:color w:val="333635"/>
                <w:spacing w:val="10"/>
                <w:sz w:val="14"/>
                <w:szCs w:val="14"/>
              </w:rPr>
              <w:t xml:space="preserve">ANNÉE 3 MINIMUM</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Établissements abonnés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50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Classes touchées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80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200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Élèves touchés</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2 000</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5 000</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Classes par établissement</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2</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Palier tarifaire moyen</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450 €</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700 €</w:t>
            </w:r>
          </w:p>
        </w:tc>
      </w:tr>
      <w:tr>
        <w:trPr>
          <w:cantSplit/>
          <w:tblHeader w:val="false"/>
        </w:trPr>
        <w:tc>
          <w:tcPr>
            <w:tcW w:type="dxa" w:w="3066"/>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Chiffre d'affaires annuel</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18 000 €</w:t>
            </w:r>
          </w:p>
        </w:tc>
        <w:tc>
          <w:tcPr>
            <w:tcW w:type="dxa" w:w="317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35 000 €</w:t>
            </w:r>
          </w:p>
        </w:tc>
      </w:tr>
      <w:tr>
        <w:trPr>
          <w:cantSplit/>
          <w:tblHeader w:val="false"/>
        </w:trPr>
        <w:tc>
          <w:tcPr>
            <w:tcW w:type="dxa" w:w="3066"/>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Part du marché scolaire (396 M€)</w:t>
            </w:r>
          </w:p>
        </w:tc>
        <w:tc>
          <w:tcPr>
            <w:tcW w:type="dxa" w:w="317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0,005 %</w:t>
            </w:r>
          </w:p>
        </w:tc>
        <w:tc>
          <w:tcPr>
            <w:tcW w:type="dxa" w:w="317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right"/>
            </w:pPr>
            <w:r>
              <w:rPr>
                <w:rFonts w:ascii="Montserrat" w:cs="Montserrat" w:eastAsia="Montserrat" w:hAnsi="Montserrat"/>
                <w:b w:val="false"/>
                <w:bCs w:val="false"/>
                <w:color w:val="58595B"/>
                <w:sz w:val="15"/>
                <w:szCs w:val="15"/>
              </w:rPr>
              <w:t xml:space="preserve">0,009 %</w:t>
            </w:r>
          </w:p>
        </w:tc>
      </w:tr>
    </w:tbl>
    <w:p>
      <w:pPr>
        <w:spacing w:after="220" w:before="0" w:line="240"/>
      </w:pPr>
    </w:p>
    <w:p>
      <w:pPr>
        <w:spacing w:after="140" w:line="288"/>
        <w:jc w:val="both"/>
      </w:pPr>
      <w:r>
        <w:rPr>
          <w:rFonts w:ascii="Montserrat" w:cs="Montserrat" w:eastAsia="Montserrat" w:hAnsi="Montserrat"/>
          <w:color w:val="58595B"/>
          <w:sz w:val="18"/>
          <w:szCs w:val="18"/>
        </w:rPr>
        <w:t xml:space="preserve">Ces montants sont modestes. Même dans le scénario haut, 112 000 € de chiffre d'affaires annuel pour un portage solo placent le projet dans une logique de viabilité, pas de croissance. Le Livrable 5 dira si ce niveau couvre la production et la maintenance.</w:t>
      </w:r>
    </w:p>
    <w:p>
      <w:pPr>
        <w:spacing w:after="140" w:line="288"/>
        <w:jc w:val="both"/>
      </w:pPr>
      <w:r>
        <w:rPr>
          <w:rFonts w:ascii="Montserrat" w:cs="Montserrat" w:eastAsia="Montserrat" w:hAnsi="Montserrat"/>
          <w:color w:val="58595B"/>
          <w:sz w:val="18"/>
          <w:szCs w:val="18"/>
        </w:rPr>
        <w:t xml:space="preserve">Des</w:t>
      </w:r>
      <w:r>
        <w:rPr>
          <w:rFonts w:ascii="Montserrat" w:cs="Montserrat" w:eastAsia="Montserrat" w:hAnsi="Montserrat"/>
          <w:color w:val="58595B"/>
          <w:sz w:val="18"/>
          <w:szCs w:val="18"/>
        </w:rPr>
        <w:t xml:space="preserve"> hypothèses restent à vérifier : un effectif moyen de 25 élèves par classe, un taux de reconduction des abonnements encore inconnu, et l'acceptation du prix par les établissements.</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CHAPITRE 07</w:t>
            </w:r>
          </w:p>
          <w:p>
            <w:pPr>
              <w:pStyle w:val="Heading1"/>
              <w:keepNext/>
              <w:spacing w:after="0" w:before="0" w:line="700" w:lineRule="exact"/>
            </w:pPr>
            <w:bookmarkStart w:name="chap_7" w:id="108"/>
            <w:r>
              <w:rPr>
                <w:rFonts w:ascii="Oswald ExtraLight" w:cs="Oswald ExtraLight" w:eastAsia="Oswald ExtraLight" w:hAnsi="Oswald ExtraLight"/>
                <w:color w:val="173347"/>
                <w:sz w:val="64"/>
                <w:szCs w:val="64"/>
              </w:rPr>
              <w:t xml:space="preserve">VALIDER LES HYPOTHÈSES</w:t>
            </w:r>
            <w:bookmarkEnd w:id="108"/>
            <w:r>
              <w:rPr>
                <w:rFonts w:ascii="Oswald" w:cs="Oswald" w:eastAsia="Oswald" w:hAnsi="Oswald"/>
                <w:b/>
                <w:bCs/>
                <w:color w:val="173347"/>
                <w:sz w:val="64"/>
                <w:szCs w:val="64"/>
              </w:rPr>
              <w:br/>
              <w:t xml:space="preserve">SUR LE TERRAIN</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07</w:t>
            </w:r>
          </w:p>
        </w:tc>
      </w:tr>
    </w:tbl>
    <w:p>
      <w:pPr>
        <w:pBdr>
          <w:bottom w:val="single" w:color="173347" w:sz="6"/>
        </w:pBdr>
        <w:spacing w:after="260" w:before="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LES HYPOTHÈSES À CONFRONTER</w:t>
      </w: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3543"/>
        <w:gridCol w:w="3543"/>
        <w:gridCol w:w="2320"/>
      </w:tblGrid>
      <w:tr>
        <w:trPr>
          <w:cantSplit/>
          <w:tblHeader/>
        </w:trPr>
        <w:tc>
          <w:tcPr>
            <w:tcW w:type="dxa" w:w="3543"/>
            <w:tcBorders>
              <w:top w:val="single" w:color="333635" w:sz="12"/>
              <w:left w:val="none" w:color="auto" w:sz="0"/>
              <w:bottom w:val="single" w:color="333635" w:sz="6"/>
              <w:right w:val="none" w:color="auto" w:sz="0"/>
            </w:tcBorders>
            <w:tcMar>
              <w:top w:type="dxa" w:w="90"/>
              <w:left w:type="dxa" w:w="6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HYPOTHÈSE</w:t>
            </w:r>
          </w:p>
        </w:tc>
        <w:tc>
          <w:tcPr>
            <w:tcW w:type="dxa" w:w="3543"/>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QUESTION POSÉE AU TERRAIN</w:t>
            </w:r>
          </w:p>
        </w:tc>
        <w:tc>
          <w:tcPr>
            <w:tcW w:type="dxa" w:w="2320"/>
            <w:tcBorders>
              <w:top w:val="single" w:color="333635" w:sz="12"/>
              <w:left w:val="none" w:color="auto" w:sz="0"/>
              <w:bottom w:val="single" w:color="333635" w:sz="6"/>
              <w:right w:val="none" w:color="auto" w:sz="0"/>
            </w:tcBorders>
            <w:tcMar>
              <w:top w:type="dxa" w:w="90"/>
              <w:left w:type="dxa" w:w="110"/>
              <w:bottom w:type="dxa" w:w="90"/>
              <w:right w:type="dxa" w:w="110"/>
            </w:tcMar>
            <w:vAlign w:val="bottom"/>
          </w:tcPr>
          <w:p>
            <w:pPr>
              <w:spacing w:after="0" w:line="252"/>
              <w:jc w:val="left"/>
            </w:pPr>
            <w:r>
              <w:rPr>
                <w:rFonts w:ascii="Montserrat" w:cs="Montserrat" w:eastAsia="Montserrat" w:hAnsi="Montserrat"/>
                <w:b/>
                <w:bCs/>
                <w:color w:val="333635"/>
                <w:spacing w:val="10"/>
                <w:sz w:val="14"/>
                <w:szCs w:val="14"/>
              </w:rPr>
              <w:t xml:space="preserve">OUTIL</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 besoin existe : les enseignants cherchent une ressource EDD plus engageante</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Comment traitez-vous l'EDD aujourd'hui, et qu'est-ce qui vous manque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Entretiens</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L'accessibilité native répond au besoin sans stigmatiser</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Les élèves concernés utilisent-ils les réglages ? Se sentent-ils désignés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Test et observation</w:t>
            </w:r>
          </w:p>
        </w:tc>
      </w:tr>
      <w:tr>
        <w:trPr>
          <w:cantSplit/>
          <w:tblHeader w:val="false"/>
        </w:trPr>
        <w:tc>
          <w:tcPr>
            <w:tcW w:type="dxa" w:w="3543"/>
            <w:tcBorders>
              <w:top w:val="none" w:color="auto" w:sz="0"/>
              <w:left w:val="none" w:color="auto" w:sz="0"/>
              <w:bottom w:val="single" w:color="BCBEC0" w:sz="4"/>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Les freins identifiés sont les bons et dans cet ordre</w:t>
            </w:r>
          </w:p>
        </w:tc>
        <w:tc>
          <w:tcPr>
            <w:tcW w:type="dxa" w:w="3543"/>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Qu'est-ce qui vous ferait renoncer à cet outil ?</w:t>
            </w:r>
          </w:p>
        </w:tc>
        <w:tc>
          <w:tcPr>
            <w:tcW w:type="dxa" w:w="2320"/>
            <w:tcBorders>
              <w:top w:val="none" w:color="auto" w:sz="0"/>
              <w:left w:val="none" w:color="auto" w:sz="0"/>
              <w:bottom w:val="single" w:color="BCBEC0" w:sz="4"/>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Questionnaire</w:t>
            </w:r>
          </w:p>
        </w:tc>
      </w:tr>
      <w:tr>
        <w:trPr>
          <w:cantSplit/>
          <w:tblHeader w:val="false"/>
        </w:trPr>
        <w:tc>
          <w:tcPr>
            <w:tcW w:type="dxa" w:w="3543"/>
            <w:tcBorders>
              <w:top w:val="none" w:color="auto" w:sz="0"/>
              <w:left w:val="none" w:color="auto" w:sz="0"/>
              <w:bottom w:val="single" w:color="333635" w:sz="12"/>
              <w:right w:val="none" w:color="auto" w:sz="0"/>
            </w:tcBorders>
            <w:tcMar>
              <w:top w:type="dxa" w:w="80"/>
              <w:left w:type="dxa" w:w="60"/>
              <w:bottom w:type="dxa" w:w="80"/>
              <w:right w:type="dxa" w:w="110"/>
            </w:tcMar>
            <w:vAlign w:val="top"/>
          </w:tcPr>
          <w:p>
            <w:pPr>
              <w:spacing w:after="0" w:line="252"/>
              <w:jc w:val="left"/>
            </w:pPr>
            <w:r>
              <w:rPr>
                <w:rFonts w:ascii="Montserrat" w:cs="Montserrat" w:eastAsia="Montserrat" w:hAnsi="Montserrat"/>
                <w:b/>
                <w:bCs/>
                <w:color w:val="333635"/>
                <w:sz w:val="15"/>
                <w:szCs w:val="15"/>
              </w:rPr>
              <w:t xml:space="preserve">Le prix de 450 à 950 € est acceptable</w:t>
            </w:r>
          </w:p>
        </w:tc>
        <w:tc>
          <w:tcPr>
            <w:tcW w:type="dxa" w:w="3543"/>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Quel montant votre établissement accepterait-il, et pour combien de classes ?</w:t>
            </w:r>
          </w:p>
        </w:tc>
        <w:tc>
          <w:tcPr>
            <w:tcW w:type="dxa" w:w="2320"/>
            <w:tcBorders>
              <w:top w:val="none" w:color="auto" w:sz="0"/>
              <w:left w:val="none" w:color="auto" w:sz="0"/>
              <w:bottom w:val="single" w:color="333635" w:sz="12"/>
              <w:right w:val="none" w:color="auto" w:sz="0"/>
            </w:tcBorders>
            <w:tcMar>
              <w:top w:type="dxa" w:w="80"/>
              <w:left w:type="dxa" w:w="110"/>
              <w:bottom w:type="dxa" w:w="80"/>
              <w:right w:type="dxa" w:w="110"/>
            </w:tcMar>
            <w:vAlign w:val="top"/>
          </w:tcPr>
          <w:p>
            <w:pPr>
              <w:spacing w:after="0" w:line="252"/>
              <w:jc w:val="left"/>
            </w:pPr>
            <w:r>
              <w:rPr>
                <w:rFonts w:ascii="Montserrat" w:cs="Montserrat" w:eastAsia="Montserrat" w:hAnsi="Montserrat"/>
                <w:b w:val="false"/>
                <w:bCs w:val="false"/>
                <w:color w:val="58595B"/>
                <w:sz w:val="15"/>
                <w:szCs w:val="15"/>
              </w:rPr>
              <w:t xml:space="preserve">Questionnaire et entretiens</w:t>
            </w:r>
          </w:p>
        </w:tc>
      </w:tr>
    </w:tbl>
    <w:p>
      <w:pPr>
        <w:spacing w:after="220" w:before="0" w:line="240"/>
      </w:pP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LE DISPOSITIF PRÉVU</w:t>
      </w:r>
    </w:p>
    <w:p>
      <w:pPr>
        <w:spacing w:after="140" w:line="288"/>
        <w:jc w:val="both"/>
      </w:pPr>
      <w:r>
        <w:rPr>
          <w:rFonts w:ascii="Montserrat" w:cs="Montserrat" w:eastAsia="Montserrat" w:hAnsi="Montserrat"/>
          <w:color w:val="58595B"/>
          <w:sz w:val="18"/>
          <w:szCs w:val="18"/>
        </w:rPr>
        <w:t xml:space="preserve">Les entretiens viennent en premier, auprès d'une dizaine d'enseignants, de 2 ou 3 professionnels TND et de quelques parents. Ils vérifient que les besoins décrits ici sont bien ceux que les intéressés expriment, et fournissent le vocabulaire du questionnaire.</w:t>
      </w:r>
    </w:p>
    <w:p>
      <w:pPr>
        <w:spacing w:after="140" w:line="288"/>
        <w:jc w:val="both"/>
      </w:pPr>
      <w:r>
        <w:rPr>
          <w:rFonts w:ascii="Montserrat" w:cs="Montserrat" w:eastAsia="Montserrat" w:hAnsi="Montserrat"/>
          <w:color w:val="58595B"/>
          <w:sz w:val="18"/>
          <w:szCs w:val="18"/>
        </w:rPr>
        <w:t xml:space="preserve">Le questionnaire suit, diffusé en ligne auprès des enseignants de l'académie de Lille, avec un objectif de 100 répondants. Il mesure les freins, les attentes et le consentement à payer, ce qui validera ou corrigera la grille tarifaire.</w:t>
      </w:r>
    </w:p>
    <w:p>
      <w:pPr>
        <w:spacing w:after="140" w:line="288"/>
        <w:jc w:val="both"/>
      </w:pPr>
      <w:r>
        <w:rPr>
          <w:rFonts w:ascii="Montserrat" w:cs="Montserrat" w:eastAsia="Montserrat" w:hAnsi="Montserrat"/>
          <w:color w:val="58595B"/>
          <w:sz w:val="18"/>
          <w:szCs w:val="18"/>
        </w:rPr>
        <w:t xml:space="preserve">Les tests sur prototype arrivent en dernier, dans 2 ou 3 classes. Ils observent ce que les déclarations ne disent pas : la durée réelle d'une partie, l'usage des réglages d'accessibilité et les éventuels décrochages.</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LA PLACE DE L'ENSEIGNANT</w:t>
      </w:r>
    </w:p>
    <w:p>
      <w:pPr>
        <w:spacing w:after="140" w:line="288"/>
        <w:jc w:val="both"/>
      </w:pPr>
      <w:r>
        <w:rPr>
          <w:rFonts w:ascii="Montserrat" w:cs="Montserrat" w:eastAsia="Montserrat" w:hAnsi="Montserrat"/>
          <w:color w:val="58595B"/>
          <w:sz w:val="18"/>
          <w:szCs w:val="18"/>
        </w:rPr>
        <w:t xml:space="preserve">La circulaire de juillet 2025 rappelle qu'un outil numérique n'est pas, à lui seul, un dispositif d'apprentissage : l'enseignant reste central pour contextualiser et prolonger ce qui a été vu à l'écran. Le jeu sera donc présenté comme un support complémentaire, suivi d'une activité hors écran. Cette exigence sera reprise dans le cahier des charges du Livrable 6.</w:t>
      </w:r>
    </w:p>
    <w:p>
      <w:pPr>
        <w:pStyle w:val="Heading2"/>
        <w:keepNext/>
        <w:pBdr>
          <w:left w:val="single" w:color="87ADBA" w:sz="24" w:space="8"/>
        </w:pBdr>
        <w:spacing w:after="110" w:before="280"/>
        <w:ind w:left="170"/>
      </w:pPr>
      <w:r>
        <w:rPr>
          <w:rFonts w:ascii="Montserrat" w:cs="Montserrat" w:eastAsia="Montserrat" w:hAnsi="Montserrat"/>
          <w:b/>
          <w:bCs/>
          <w:color w:val="333635"/>
          <w:spacing w:val="10"/>
          <w:sz w:val="20"/>
          <w:szCs w:val="20"/>
        </w:rPr>
        <w:t xml:space="preserve">CE QUE LA COLLECTE PEUT REMETTRE EN CAUSE</w:t>
      </w:r>
    </w:p>
    <w:p>
      <w:pPr>
        <w:spacing w:after="140" w:line="288"/>
        <w:jc w:val="both"/>
      </w:pPr>
      <w:r>
        <w:rPr>
          <w:rFonts w:ascii="Montserrat" w:cs="Montserrat" w:eastAsia="Montserrat" w:hAnsi="Montserrat"/>
          <w:color w:val="58595B"/>
          <w:sz w:val="18"/>
          <w:szCs w:val="18"/>
        </w:rPr>
        <w:t xml:space="preserve">3 résultats obligeraient à réviser l'étude. Si l'EDD n'est pas une priorité des enseignants, la demande est plus étroite qu'estimé. Si le consentement à payer est nettement inférieur à la grille, le modèle d'abonnement doit être repensé, par exemple vers un financement par une collectivité. Si les élèves TND ne remarquent pas les réglages, c'est la conception qu'il faut revoir.</w:t>
      </w:r>
    </w:p>
    <w:p>
      <w:pPr>
        <w:spacing w:after="140" w:line="288"/>
        <w:jc w:val="both"/>
      </w:pPr>
      <w:r>
        <w:rPr>
          <w:rFonts w:ascii="Montserrat" w:cs="Montserrat" w:eastAsia="Montserrat" w:hAnsi="Montserrat"/>
          <w:color w:val="58595B"/>
          <w:sz w:val="18"/>
          <w:szCs w:val="18"/>
        </w:rPr>
        <w:t xml:space="preserve">Ces scénarios sont mentionnés parce qu'une étude qui ne prévoit pas de pouvoir se tromper n'a pas grand-chose à vérifier.</w:t>
      </w:r>
    </w:p>
    <w:p>
      <w:pPr>
        <w:keepNext/>
        <w:pageBreakBefore/>
        <w:spacing w:after="0" w:before="0" w:line="20" w:lineRule="exact"/>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7337"/>
        <w:gridCol w:w="2069"/>
      </w:tblGrid>
      <w:tr>
        <w:trPr>
          <w:trHeight w:val="1700" w:hRule="atLeast"/>
        </w:trPr>
        <w:tc>
          <w:tcPr>
            <w:tcW w:type="dxa" w:w="7337"/>
            <w:tcBorders>
              <w:top w:val="none" w:color="auto" w:sz="0"/>
              <w:left w:val="none" w:color="auto" w:sz="0"/>
              <w:bottom w:val="none" w:color="auto" w:sz="0"/>
              <w:right w:val="none" w:color="auto" w:sz="0"/>
            </w:tcBorders>
            <w:tcMar>
              <w:left w:type="dxa" w:w="0"/>
            </w:tcMar>
            <w:vAlign w:val="bottom"/>
          </w:tcPr>
          <w:p>
            <w:pPr>
              <w:keepNext/>
              <w:spacing w:after="80" w:before="0" w:line="240"/>
            </w:pPr>
            <w:r>
              <w:rPr>
                <w:rFonts w:ascii="Montserrat" w:cs="Montserrat" w:eastAsia="Montserrat" w:hAnsi="Montserrat"/>
                <w:b/>
                <w:bCs/>
                <w:color w:val="87ADBA"/>
                <w:spacing w:val="40"/>
                <w:sz w:val="15"/>
                <w:szCs w:val="15"/>
              </w:rPr>
              <w:t xml:space="preserve">ÉTUDE DE MARCHÉ</w:t>
            </w:r>
          </w:p>
          <w:p>
            <w:pPr>
              <w:pStyle w:val="Heading1"/>
              <w:keepNext/>
              <w:spacing w:after="0" w:before="0" w:line="700" w:lineRule="exact"/>
            </w:pPr>
            <w:bookmarkStart w:name="chap_8" w:id="109"/>
            <w:r>
              <w:rPr>
                <w:rFonts w:ascii="Oswald ExtraLight" w:cs="Oswald ExtraLight" w:eastAsia="Oswald ExtraLight" w:hAnsi="Oswald ExtraLight"/>
                <w:color w:val="173347"/>
                <w:sz w:val="64"/>
                <w:szCs w:val="64"/>
              </w:rPr>
              <w:t xml:space="preserve">CONCLUSION</w:t>
            </w:r>
            <w:bookmarkEnd w:id="109"/>
            <w:r>
              <w:rPr>
                <w:rFonts w:ascii="Oswald" w:cs="Oswald" w:eastAsia="Oswald" w:hAnsi="Oswald"/>
                <w:b/>
                <w:bCs/>
                <w:color w:val="173347"/>
                <w:sz w:val="64"/>
                <w:szCs w:val="64"/>
              </w:rPr>
              <w:br/>
              <w:t xml:space="preserve">DE L'ÉTUDE</w:t>
            </w:r>
          </w:p>
        </w:tc>
        <w:tc>
          <w:tcPr>
            <w:tcW w:type="dxa" w:w="2069"/>
            <w:tcBorders>
              <w:top w:val="none" w:color="auto" w:sz="0"/>
              <w:left w:val="none" w:color="auto" w:sz="0"/>
              <w:bottom w:val="none" w:color="auto" w:sz="0"/>
              <w:right w:val="none" w:color="auto" w:sz="0"/>
            </w:tcBorders>
            <w:shd w:fill="E9EDEF" w:color="auto" w:val="clear"/>
            <w:tcMar>
              <w:bottom w:type="dxa" w:w="60"/>
              <w:right w:type="dxa" w:w="160"/>
            </w:tcMar>
            <w:vAlign w:val="bottom"/>
          </w:tcPr>
          <w:p>
            <w:pPr>
              <w:spacing w:after="0" w:line="1300" w:lineRule="exact"/>
              <w:jc w:val="right"/>
            </w:pPr>
            <w:r>
              <w:rPr>
                <w:rFonts w:ascii="Oswald ExtraLight" w:cs="Oswald ExtraLight" w:eastAsia="Oswald ExtraLight" w:hAnsi="Oswald ExtraLight"/>
                <w:color w:val="87ADBA"/>
                <w:sz w:val="110"/>
                <w:szCs w:val="110"/>
              </w:rPr>
              <w:t xml:space="preserve"> </w:t>
            </w:r>
          </w:p>
        </w:tc>
      </w:tr>
    </w:tbl>
    <w:p>
      <w:pPr>
        <w:pBdr>
          <w:bottom w:val="single" w:color="173347" w:sz="6"/>
        </w:pBdr>
        <w:spacing w:after="260" w:before="0"/>
      </w:pPr>
    </w:p>
    <w:p>
      <w:pPr>
        <w:spacing w:after="140" w:line="288"/>
        <w:jc w:val="both"/>
      </w:pPr>
      <w:r>
        <w:rPr>
          <w:rFonts w:ascii="Montserrat" w:cs="Montserrat" w:eastAsia="Montserrat" w:hAnsi="Montserrat"/>
          <w:color w:val="58595B"/>
          <w:sz w:val="18"/>
          <w:szCs w:val="18"/>
        </w:rPr>
        <w:t xml:space="preserve">Cette étude cherchait à savoir si les collèges ont besoin d'un jeu narratif rendant l'éco-responsabilité accessible aux élèves TND, et à quelles conditions. Elle en retient 5 idées-clés.</w:t>
      </w:r>
    </w:p>
    <w:p>
      <w:pPr>
        <w:spacing w:after="120" w:before="0" w:line="240"/>
      </w:pPr>
    </w:p>
    <w:tbl>
      <w:tblPr>
        <w:tblW w:type="dxa" w:w="9406"/>
        <w:tblBorders>
          <w:top w:val="none" w:color="auto" w:sz="0"/>
          <w:left w:val="none" w:color="auto" w:sz="0"/>
          <w:bottom w:val="none" w:color="auto" w:sz="0"/>
          <w:right w:val="none" w:color="auto" w:sz="0"/>
          <w:insideH w:val="none" w:color="auto" w:sz="0"/>
          <w:insideV w:val="none" w:color="auto" w:sz="0"/>
        </w:tblBorders>
        <w:tblLayout w:type="fixed"/>
      </w:tblPr>
      <w:tblGrid>
        <w:gridCol w:w="9406"/>
      </w:tblGrid>
      <w:tr>
        <w:tc>
          <w:tcPr>
            <w:tcW w:type="dxa" w:w="9406"/>
            <w:tcBorders>
              <w:top w:val="none" w:color="auto" w:sz="0"/>
              <w:left w:val="none" w:color="auto" w:sz="0"/>
              <w:bottom w:val="none" w:color="auto" w:sz="0"/>
              <w:right w:val="none" w:color="auto" w:sz="0"/>
            </w:tcBorders>
            <w:shd w:fill="173347" w:color="auto" w:val="clear"/>
            <w:tcMar>
              <w:top w:type="dxa" w:w="500"/>
              <w:left w:type="dxa" w:w="500"/>
              <w:bottom w:type="dxa" w:w="500"/>
              <w:right w:type="dxa" w:w="500"/>
            </w:tcMar>
          </w:tcPr>
          <w:p>
            <w:pPr>
              <w:pBdr>
                <w:bottom w:val="single" w:color="FFFFFF" w:sz="6"/>
              </w:pBdr>
              <w:spacing w:after="60"/>
            </w:pPr>
            <w:r>
              <w:rPr>
                <w:rFonts w:ascii="Montserrat" w:cs="Montserrat" w:eastAsia="Montserrat" w:hAnsi="Montserrat"/>
                <w:b/>
                <w:bCs/>
                <w:color w:val="FFFFFF"/>
                <w:spacing w:val="20"/>
                <w:sz w:val="22"/>
                <w:szCs w:val="22"/>
              </w:rPr>
              <w:t xml:space="preserve">LES 5 IDÉES-CLÉS</w:t>
            </w:r>
          </w:p>
          <w:tbl>
            <w:tblPr>
              <w:tblW w:type="dxa" w:w="8406"/>
              <w:tblBorders>
                <w:top w:val="none" w:color="auto" w:sz="0"/>
                <w:left w:val="none" w:color="auto" w:sz="0"/>
                <w:bottom w:val="none" w:color="auto" w:sz="0"/>
                <w:right w:val="none" w:color="auto" w:sz="0"/>
                <w:insideH w:val="none" w:color="auto" w:sz="0"/>
                <w:insideV w:val="none" w:color="auto" w:sz="0"/>
              </w:tblBorders>
              <w:tblLayout w:type="fixed"/>
            </w:tblPr>
            <w:tblGrid>
              <w:gridCol w:w="1000"/>
              <w:gridCol w:w="7406"/>
            </w:tblGrid>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01</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marché existe, mais il est modeste : le segment scolaire du numérique éducatif pèse environ 396 M€, et le projet vise d'abord une niche de collégiens.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02</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positionnement est libre : aucune offre identifiée ne réunit récit interactif, thème écologique, accessibilité native et gratuité pour l'élève.</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03</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format est cohérent avec les recommandations publiques pour les élèves TND et avec les principes issus de la recherche sur les jeux narratifs.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04</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L'achat mobilise plusieurs acteurs : l'enseignant prescrit, la direction décide, le référent numérique peut bloquer. Une offre sans installation ni collecte de données lève la plupart des freins.</w:t>
                  </w:r>
                </w:p>
              </w:tc>
            </w:tr>
            <w:tr>
              <w:trPr>
                <w:cantSplit/>
              </w:trPr>
              <w:tc>
                <w:tcPr>
                  <w:tcW w:type="dxa" w:w="1000"/>
                  <w:tcBorders>
                    <w:top w:val="none" w:color="auto" w:sz="0"/>
                    <w:left w:val="none" w:color="auto" w:sz="0"/>
                    <w:bottom w:val="single" w:color="354658" w:sz="4"/>
                    <w:right w:val="none" w:color="auto" w:sz="0"/>
                  </w:tcBorders>
                  <w:tcMar>
                    <w:top w:type="dxa" w:w="140"/>
                    <w:bottom w:type="dxa" w:w="140"/>
                  </w:tcMar>
                </w:tcPr>
                <w:p>
                  <w:pPr>
                    <w:spacing w:after="0"/>
                  </w:pPr>
                  <w:r>
                    <w:rPr>
                      <w:rFonts w:ascii="Oswald" w:cs="Oswald" w:eastAsia="Oswald" w:hAnsi="Oswald"/>
                      <w:color w:val="A7C1CB"/>
                      <w:sz w:val="40"/>
                      <w:szCs w:val="40"/>
                    </w:rPr>
                    <w:t xml:space="preserve">05</w:t>
                  </w:r>
                </w:p>
              </w:tc>
              <w:tc>
                <w:tcPr>
                  <w:tcW w:type="dxa" w:w="7406"/>
                  <w:tcBorders>
                    <w:top w:val="none" w:color="auto" w:sz="0"/>
                    <w:left w:val="none" w:color="auto" w:sz="0"/>
                    <w:bottom w:val="single" w:color="354658" w:sz="4"/>
                    <w:right w:val="none" w:color="auto" w:sz="0"/>
                  </w:tcBorders>
                  <w:tcMar>
                    <w:top w:type="dxa" w:w="160"/>
                    <w:bottom w:type="dxa" w:w="140"/>
                  </w:tcMar>
                  <w:vAlign w:val="center"/>
                </w:tcPr>
                <w:p>
                  <w:pPr>
                    <w:spacing w:after="0" w:line="288"/>
                  </w:pPr>
                  <w:r>
                    <w:rPr>
                      <w:rFonts w:ascii="Montserrat" w:cs="Montserrat" w:eastAsia="Montserrat" w:hAnsi="Montserrat"/>
                      <w:color w:val="FFFFFF"/>
                      <w:sz w:val="18"/>
                      <w:szCs w:val="18"/>
                    </w:rPr>
                    <w:t xml:space="preserve">Le prix de 450 à 950 € et les besoins décrits restent des hypothèses : la collecte de terrain décidera de la suite.</w:t>
                  </w:r>
                </w:p>
              </w:tc>
            </w:tr>
          </w:tbl>
          <w:p>
            <w:pPr>
              <w:spacing w:after="0"/>
            </w:pPr>
          </w:p>
        </w:tc>
      </w:tr>
    </w:tbl>
    <w:sectPr>
      <w:footerReference w:type="default" r:id="rId7"/>
      <w:footerReference w:type="first" r:id="rId8"/>
      <w:pgSz w:w="11906" w:h="16838" w:orient="portrait"/>
      <w:pgMar w:top="1300" w:right="1250" w:bottom="1200" w:left="125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CBEC0" w:sz="4"/>
      </w:pBdr>
      <w:tabs>
        <w:tab w:val="right" w:pos="9406"/>
      </w:tabs>
      <w:spacing w:before="0"/>
    </w:pPr>
    <w:r>
      <w:rPr>
        <w:rFonts w:ascii="Montserrat" w:cs="Montserrat" w:eastAsia="Montserrat" w:hAnsi="Montserrat"/>
        <w:color w:val="7F7F7F"/>
        <w:spacing w:val="20"/>
        <w:sz w:val="12"/>
        <w:szCs w:val="12"/>
      </w:rPr>
      <w:t xml:space="preserve">ÉTUDE DE MARCHÉ  ·  LES GARDIENS DU MONDE  ·  MÉGANE MILVILLE</w:t>
    </w:r>
    <w:r>
      <w:rPr>
        <w:rFonts w:ascii="Montserrat" w:cs="Montserrat" w:eastAsia="Montserrat" w:hAnsi="Montserrat"/>
        <w:b/>
        <w:bCs/>
        <w:color w:val="173347"/>
        <w:sz w:val="15"/>
        <w:szCs w:val="15"/>
      </w:rPr>
      <w:t xml:space="preserv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87ADBA"/>
        <w:sz w:val="12"/>
        <w:szCs w:val="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58595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Oswald" w:cs="Oswald" w:eastAsia="Oswald" w:hAnsi="Oswald"/>
      <w:color w:val="173347"/>
      <w:sz w:val="76"/>
      <w:szCs w:val="76"/>
    </w:rPr>
  </w:style>
  <w:style w:type="paragraph" w:styleId="Heading2">
    <w:name w:val="Heading 2"/>
    <w:basedOn w:val="Normal"/>
    <w:next w:val="Normal"/>
    <w:qFormat/>
    <w:pPr>
      <w:outlineLvl w:val="1"/>
    </w:pPr>
    <w:rPr>
      <w:rFonts w:ascii="Montserrat" w:cs="Montserrat" w:eastAsia="Montserrat" w:hAnsi="Montserrat"/>
      <w:b/>
      <w:bCs/>
      <w:color w:val="333635"/>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de marché · Les Gardiens du Monde</dc:title>
  <dc:creator>Mégane Milville</dc:creator>
  <cp:lastModifiedBy>Un-named</cp:lastModifiedBy>
  <cp:revision>1</cp:revision>
  <dcterms:created xsi:type="dcterms:W3CDTF">2026-09-25T07:47:18.883Z</dcterms:created>
  <dcterms:modified xsi:type="dcterms:W3CDTF">2026-09-25T07:47:18.884Z</dcterms:modified>
</cp:coreProperties>
</file>

<file path=docProps/custom.xml><?xml version="1.0" encoding="utf-8"?>
<Properties xmlns="http://schemas.openxmlformats.org/officeDocument/2006/custom-properties" xmlns:vt="http://schemas.openxmlformats.org/officeDocument/2006/docPropsVTypes"/>
</file>