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0"/>
        <w:jc w:val="center"/>
      </w:pPr>
      <w:r>
        <w:rPr>
          <w:rFonts w:ascii="Montserrat" w:cs="Montserrat" w:eastAsia="Montserrat" w:hAnsi="Montserrat"/>
          <w:color w:val="BCBEC0"/>
          <w:sz w:val="20"/>
          <w:szCs w:val="20"/>
        </w:rPr>
        <w:t xml:space="preserve">[ Page de garde ]</w:t>
      </w:r>
    </w:p>
    <w:p>
      <w:r>
        <w:br w:type="page"/>
      </w: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2300"/>
        <w:gridCol w:w="7106"/>
      </w:tblGrid>
      <w:tr>
        <w:trPr>
          <w:trHeight w:val="13338" w:hRule="atLeast"/>
        </w:trPr>
        <w:tc>
          <w:tcPr>
            <w:tcW w:type="dxa" w:w="2300"/>
            <w:tcBorders>
              <w:top w:val="none" w:color="auto" w:sz="0"/>
              <w:left w:val="none" w:color="auto" w:sz="0"/>
              <w:bottom w:val="none" w:color="auto" w:sz="0"/>
              <w:right w:val="none" w:color="auto" w:sz="0"/>
            </w:tcBorders>
            <w:shd w:fill="A7C1CB" w:color="auto" w:val="clear"/>
            <w:tcMar>
              <w:top w:type="dxa" w:w="500"/>
              <w:left w:type="dxa" w:w="300"/>
              <w:right w:type="dxa" w:w="300"/>
            </w:tcMar>
          </w:tcPr>
          <w:p>
            <w:pPr>
              <w:spacing w:after="0" w:line="276"/>
            </w:pPr>
            <w:r>
              <w:rPr>
                <w:rFonts w:ascii="Oswald" w:cs="Oswald" w:eastAsia="Oswald" w:hAnsi="Oswald"/>
                <w:color w:val="173347"/>
                <w:sz w:val="26"/>
                <w:szCs w:val="26"/>
                <w:u w:val="single"/>
              </w:rPr>
              <w:t xml:space="preserve">Les Gardiens du Monde</w:t>
            </w:r>
          </w:p>
          <w:p>
            <w:pPr>
              <w:spacing w:after="0" w:line="276"/>
            </w:pPr>
            <w:r>
              <w:rPr>
                <w:rFonts w:ascii="Oswald" w:cs="Oswald" w:eastAsia="Oswald" w:hAnsi="Oswald"/>
                <w:color w:val="173347"/>
                <w:sz w:val="26"/>
                <w:szCs w:val="26"/>
                <w:u w:val="single"/>
              </w:rPr>
              <w:t xml:space="preserve">Proposition de valeur</w:t>
            </w:r>
          </w:p>
          <w:p>
            <w:pPr>
              <w:spacing w:after="0" w:before="200" w:line="264"/>
            </w:pPr>
            <w:r>
              <w:rPr>
                <w:rFonts w:ascii="Montserrat" w:cs="Montserrat" w:eastAsia="Montserrat" w:hAnsi="Montserrat"/>
                <w:b/>
                <w:bCs/>
                <w:color w:val="173347"/>
                <w:sz w:val="14"/>
                <w:szCs w:val="14"/>
              </w:rPr>
              <w:t xml:space="preserve">Sprint 2 · Livrable 4</w:t>
            </w:r>
          </w:p>
        </w:tc>
        <w:tc>
          <w:tcPr>
            <w:tcW w:type="dxa" w:w="7106"/>
            <w:tcBorders>
              <w:top w:val="none" w:color="auto" w:sz="0"/>
              <w:left w:val="none" w:color="auto" w:sz="0"/>
              <w:bottom w:val="none" w:color="auto" w:sz="0"/>
              <w:right w:val="none" w:color="auto" w:sz="0"/>
            </w:tcBorders>
            <w:tcMar>
              <w:top w:type="dxa" w:w="500"/>
              <w:left w:type="dxa" w:w="500"/>
            </w:tcMar>
          </w:tcPr>
          <w:p>
            <w:pPr>
              <w:spacing w:after="0" w:line="720" w:lineRule="exact"/>
            </w:pPr>
            <w:r>
              <w:rPr>
                <w:rFonts w:ascii="Oswald ExtraLight" w:cs="Oswald ExtraLight" w:eastAsia="Oswald ExtraLight" w:hAnsi="Oswald ExtraLight"/>
                <w:color w:val="173347"/>
                <w:sz w:val="60"/>
                <w:szCs w:val="60"/>
              </w:rPr>
              <w:t xml:space="preserve">PROPOSITION DE VALEUR</w:t>
            </w:r>
          </w:p>
          <w:p>
            <w:pPr>
              <w:spacing w:after="500" w:line="1100" w:lineRule="exact"/>
            </w:pPr>
            <w:r>
              <w:rPr>
                <w:rFonts w:ascii="Oswald" w:cs="Oswald" w:eastAsia="Oswald" w:hAnsi="Oswald"/>
                <w:b/>
                <w:bCs/>
                <w:color w:val="173347"/>
                <w:sz w:val="96"/>
                <w:szCs w:val="96"/>
              </w:rPr>
              <w:t xml:space="preserve">SOMMAIRE</w:t>
            </w:r>
          </w:p>
          <w:tbl>
            <w:tblPr>
              <w:tblW w:type="dxa" w:w="6606"/>
              <w:tblBorders>
                <w:top w:val="none" w:color="auto" w:sz="0"/>
                <w:left w:val="none" w:color="auto" w:sz="0"/>
                <w:bottom w:val="none" w:color="auto" w:sz="0"/>
                <w:right w:val="none" w:color="auto" w:sz="0"/>
                <w:insideH w:val="none" w:color="auto" w:sz="0"/>
                <w:insideV w:val="none" w:color="auto" w:sz="0"/>
              </w:tblBorders>
              <w:tblLayout w:type="fixed"/>
            </w:tblPr>
            <w:tblGrid>
              <w:gridCol w:w="900"/>
              <w:gridCol w:w="5706"/>
            </w:tblGrid>
            <w:tr>
              <w:trPr>
                <w:cantSplit/>
              </w:trPr>
              <w:tc>
                <w:tcPr>
                  <w:tcW w:type="dxa" w:w="900"/>
                  <w:tcBorders>
                    <w:top w:val="none" w:color="auto" w:sz="0"/>
                    <w:left w:val="none" w:color="auto" w:sz="0"/>
                    <w:bottom w:val="none" w:color="auto" w:sz="0"/>
                    <w:right w:val="single" w:color="333635" w:sz="6"/>
                  </w:tcBorders>
                  <w:tcMar>
                    <w:top w:type="dxa" w:w="110"/>
                    <w:bottom w:type="dxa" w:w="110"/>
                    <w:right w:type="dxa" w:w="180"/>
                  </w:tcMar>
                </w:tcPr>
                <w:p>
                  <w:pPr>
                    <w:spacing w:after="0"/>
                    <w:jc w:val="right"/>
                  </w:pPr>
                  <w:r>
                    <w:rPr>
                      <w:rFonts w:ascii="Montserrat" w:cs="Montserrat" w:eastAsia="Montserrat" w:hAnsi="Montserrat"/>
                      <w:b/>
                      <w:bCs/>
                      <w:color w:val="333635"/>
                      <w:sz w:val="16"/>
                      <w:szCs w:val="16"/>
                    </w:rPr>
                    <w:fldChar w:fldCharType="begin"/>
                  </w:r>
                  <w:r>
                    <w:rPr>
                      <w:rFonts w:ascii="Montserrat" w:cs="Montserrat" w:eastAsia="Montserrat" w:hAnsi="Montserrat"/>
                      <w:b/>
                      <w:bCs/>
                      <w:color w:val="333635"/>
                      <w:sz w:val="16"/>
                      <w:szCs w:val="16"/>
                    </w:rPr>
                    <w:instrText xml:space="preserve"> PAGEREF chap_0 \h </w:instrText>
                  </w:r>
                  <w:r>
                    <w:rPr>
                      <w:rFonts w:ascii="Montserrat" w:cs="Montserrat" w:eastAsia="Montserrat" w:hAnsi="Montserrat"/>
                      <w:b/>
                      <w:bCs/>
                      <w:color w:val="333635"/>
                      <w:sz w:val="16"/>
                      <w:szCs w:val="16"/>
                    </w:rPr>
                    <w:fldChar w:fldCharType="separate"/>
                  </w:r>
                  <w:r>
                    <w:rPr>
                      <w:rFonts w:ascii="Montserrat" w:cs="Montserrat" w:eastAsia="Montserrat" w:hAnsi="Montserrat"/>
                      <w:b/>
                      <w:bCs/>
                      <w:color w:val="333635"/>
                      <w:sz w:val="16"/>
                      <w:szCs w:val="16"/>
                    </w:rPr>
                    <w:t>3</w:t>
                  </w:r>
                  <w:r>
                    <w:rPr>
                      <w:rFonts w:ascii="Montserrat" w:cs="Montserrat" w:eastAsia="Montserrat" w:hAnsi="Montserrat"/>
                      <w:b/>
                      <w:bCs/>
                      <w:color w:val="333635"/>
                      <w:sz w:val="16"/>
                      <w:szCs w:val="16"/>
                    </w:rPr>
                    <w:fldChar w:fldCharType="end"/>
                  </w:r>
                </w:p>
              </w:tc>
              <w:tc>
                <w:tcPr>
                  <w:tcW w:type="dxa" w:w="5706"/>
                  <w:tcBorders>
                    <w:top w:val="none" w:color="auto" w:sz="0"/>
                    <w:left w:val="none" w:color="auto" w:sz="0"/>
                    <w:bottom w:val="none" w:color="auto" w:sz="0"/>
                    <w:right w:val="none" w:color="auto" w:sz="0"/>
                  </w:tcBorders>
                  <w:tcMar>
                    <w:top w:type="dxa" w:w="110"/>
                    <w:left w:type="dxa" w:w="260"/>
                    <w:bottom w:type="dxa" w:w="110"/>
                  </w:tcMar>
                </w:tcPr>
                <w:p>
                  <w:pPr>
                    <w:spacing w:after="0"/>
                  </w:pPr>
                  <w:r>
                    <w:rPr>
                      <w:rFonts w:ascii="Oswald" w:cs="Oswald" w:eastAsia="Oswald" w:hAnsi="Oswald"/>
                      <w:color w:val="87ADBA"/>
                      <w:sz w:val="22"/>
                      <w:szCs w:val="22"/>
                    </w:rPr>
                    <w:t xml:space="preserve">01   </w:t>
                  </w:r>
                  <w:r>
                    <w:rPr>
                      <w:rFonts w:ascii="Montserrat" w:cs="Montserrat" w:eastAsia="Montserrat" w:hAnsi="Montserrat"/>
                      <w:b/>
                      <w:bCs/>
                      <w:color w:val="173347"/>
                      <w:spacing w:val="10"/>
                      <w:sz w:val="18"/>
                      <w:szCs w:val="18"/>
                    </w:rPr>
                    <w:t xml:space="preserve">LA DÉMARCHE ET LE PROFIL DES PUBLICS</w:t>
                  </w:r>
                </w:p>
              </w:tc>
            </w:tr>
            <w:tr>
              <w:trPr>
                <w:cantSplit/>
              </w:trPr>
              <w:tc>
                <w:tcPr>
                  <w:tcW w:type="dxa" w:w="900"/>
                  <w:tcBorders>
                    <w:top w:val="none" w:color="auto" w:sz="0"/>
                    <w:left w:val="none" w:color="auto" w:sz="0"/>
                    <w:bottom w:val="none" w:color="auto" w:sz="0"/>
                    <w:right w:val="single" w:color="333635" w:sz="6"/>
                  </w:tcBorders>
                  <w:tcMar>
                    <w:top w:type="dxa" w:w="110"/>
                    <w:bottom w:type="dxa" w:w="110"/>
                    <w:right w:type="dxa" w:w="180"/>
                  </w:tcMar>
                </w:tcPr>
                <w:p>
                  <w:pPr>
                    <w:spacing w:after="0"/>
                    <w:jc w:val="right"/>
                  </w:pPr>
                  <w:r>
                    <w:rPr>
                      <w:rFonts w:ascii="Montserrat" w:cs="Montserrat" w:eastAsia="Montserrat" w:hAnsi="Montserrat"/>
                      <w:b/>
                      <w:bCs/>
                      <w:color w:val="333635"/>
                      <w:sz w:val="16"/>
                      <w:szCs w:val="16"/>
                    </w:rPr>
                    <w:fldChar w:fldCharType="begin"/>
                  </w:r>
                  <w:r>
                    <w:rPr>
                      <w:rFonts w:ascii="Montserrat" w:cs="Montserrat" w:eastAsia="Montserrat" w:hAnsi="Montserrat"/>
                      <w:b/>
                      <w:bCs/>
                      <w:color w:val="333635"/>
                      <w:sz w:val="16"/>
                      <w:szCs w:val="16"/>
                    </w:rPr>
                    <w:instrText xml:space="preserve"> PAGEREF chap_1 \h </w:instrText>
                  </w:r>
                  <w:r>
                    <w:rPr>
                      <w:rFonts w:ascii="Montserrat" w:cs="Montserrat" w:eastAsia="Montserrat" w:hAnsi="Montserrat"/>
                      <w:b/>
                      <w:bCs/>
                      <w:color w:val="333635"/>
                      <w:sz w:val="16"/>
                      <w:szCs w:val="16"/>
                    </w:rPr>
                    <w:fldChar w:fldCharType="separate"/>
                  </w:r>
                  <w:r>
                    <w:rPr>
                      <w:rFonts w:ascii="Montserrat" w:cs="Montserrat" w:eastAsia="Montserrat" w:hAnsi="Montserrat"/>
                      <w:b/>
                      <w:bCs/>
                      <w:color w:val="333635"/>
                      <w:sz w:val="16"/>
                      <w:szCs w:val="16"/>
                    </w:rPr>
                    <w:t>4</w:t>
                  </w:r>
                  <w:r>
                    <w:rPr>
                      <w:rFonts w:ascii="Montserrat" w:cs="Montserrat" w:eastAsia="Montserrat" w:hAnsi="Montserrat"/>
                      <w:b/>
                      <w:bCs/>
                      <w:color w:val="333635"/>
                      <w:sz w:val="16"/>
                      <w:szCs w:val="16"/>
                    </w:rPr>
                    <w:fldChar w:fldCharType="end"/>
                  </w:r>
                </w:p>
              </w:tc>
              <w:tc>
                <w:tcPr>
                  <w:tcW w:type="dxa" w:w="5706"/>
                  <w:tcBorders>
                    <w:top w:val="none" w:color="auto" w:sz="0"/>
                    <w:left w:val="none" w:color="auto" w:sz="0"/>
                    <w:bottom w:val="none" w:color="auto" w:sz="0"/>
                    <w:right w:val="none" w:color="auto" w:sz="0"/>
                  </w:tcBorders>
                  <w:tcMar>
                    <w:top w:type="dxa" w:w="110"/>
                    <w:left w:type="dxa" w:w="260"/>
                    <w:bottom w:type="dxa" w:w="110"/>
                  </w:tcMar>
                </w:tcPr>
                <w:p>
                  <w:pPr>
                    <w:spacing w:after="40"/>
                  </w:pPr>
                  <w:r>
                    <w:rPr>
                      <w:rFonts w:ascii="Oswald" w:cs="Oswald" w:eastAsia="Oswald" w:hAnsi="Oswald"/>
                      <w:color w:val="87ADBA"/>
                      <w:sz w:val="22"/>
                      <w:szCs w:val="22"/>
                    </w:rPr>
                    <w:t xml:space="preserve">02   </w:t>
                  </w:r>
                  <w:r>
                    <w:rPr>
                      <w:rFonts w:ascii="Montserrat" w:cs="Montserrat" w:eastAsia="Montserrat" w:hAnsi="Montserrat"/>
                      <w:b/>
                      <w:bCs/>
                      <w:color w:val="173347"/>
                      <w:spacing w:val="10"/>
                      <w:sz w:val="18"/>
                      <w:szCs w:val="18"/>
                    </w:rPr>
                    <w:t xml:space="preserve">LA CARTE DE VALEUR ET L'ÉNONCÉ</w:t>
                  </w:r>
                </w:p>
                <w:p>
                  <w:pPr>
                    <w:spacing w:after="0" w:line="252"/>
                  </w:pPr>
                  <w:r>
                    <w:rPr>
                      <w:rFonts w:ascii="Montserrat" w:cs="Montserrat" w:eastAsia="Montserrat" w:hAnsi="Montserrat"/>
                      <w:color w:val="7F7F7F"/>
                      <w:sz w:val="13"/>
                      <w:szCs w:val="13"/>
                    </w:rPr>
                    <w:t xml:space="preserve">Le produit  ·  Les réducteurs de freins  ·  Les créateurs de gains  ·  L'énoncé de la proposition de valeur</w:t>
                  </w:r>
                </w:p>
              </w:tc>
            </w:tr>
            <w:tr>
              <w:trPr>
                <w:cantSplit/>
              </w:trPr>
              <w:tc>
                <w:tcPr>
                  <w:tcW w:type="dxa" w:w="900"/>
                  <w:tcBorders>
                    <w:top w:val="none" w:color="auto" w:sz="0"/>
                    <w:left w:val="none" w:color="auto" w:sz="0"/>
                    <w:bottom w:val="none" w:color="auto" w:sz="0"/>
                    <w:right w:val="single" w:color="333635" w:sz="6"/>
                  </w:tcBorders>
                  <w:tcMar>
                    <w:top w:type="dxa" w:w="110"/>
                    <w:bottom w:type="dxa" w:w="110"/>
                    <w:right w:type="dxa" w:w="180"/>
                  </w:tcMar>
                </w:tcPr>
                <w:p>
                  <w:pPr>
                    <w:spacing w:after="0"/>
                    <w:jc w:val="right"/>
                  </w:pPr>
                  <w:r>
                    <w:rPr>
                      <w:rFonts w:ascii="Montserrat" w:cs="Montserrat" w:eastAsia="Montserrat" w:hAnsi="Montserrat"/>
                      <w:b/>
                      <w:bCs/>
                      <w:color w:val="333635"/>
                      <w:sz w:val="16"/>
                      <w:szCs w:val="16"/>
                    </w:rPr>
                    <w:fldChar w:fldCharType="begin"/>
                  </w:r>
                  <w:r>
                    <w:rPr>
                      <w:rFonts w:ascii="Montserrat" w:cs="Montserrat" w:eastAsia="Montserrat" w:hAnsi="Montserrat"/>
                      <w:b/>
                      <w:bCs/>
                      <w:color w:val="333635"/>
                      <w:sz w:val="16"/>
                      <w:szCs w:val="16"/>
                    </w:rPr>
                    <w:instrText xml:space="preserve"> PAGEREF chap_2 \h </w:instrText>
                  </w:r>
                  <w:r>
                    <w:rPr>
                      <w:rFonts w:ascii="Montserrat" w:cs="Montserrat" w:eastAsia="Montserrat" w:hAnsi="Montserrat"/>
                      <w:b/>
                      <w:bCs/>
                      <w:color w:val="333635"/>
                      <w:sz w:val="16"/>
                      <w:szCs w:val="16"/>
                    </w:rPr>
                    <w:fldChar w:fldCharType="separate"/>
                  </w:r>
                  <w:r>
                    <w:rPr>
                      <w:rFonts w:ascii="Montserrat" w:cs="Montserrat" w:eastAsia="Montserrat" w:hAnsi="Montserrat"/>
                      <w:b/>
                      <w:bCs/>
                      <w:color w:val="333635"/>
                      <w:sz w:val="16"/>
                      <w:szCs w:val="16"/>
                    </w:rPr>
                    <w:t>6</w:t>
                  </w:r>
                  <w:r>
                    <w:rPr>
                      <w:rFonts w:ascii="Montserrat" w:cs="Montserrat" w:eastAsia="Montserrat" w:hAnsi="Montserrat"/>
                      <w:b/>
                      <w:bCs/>
                      <w:color w:val="333635"/>
                      <w:sz w:val="16"/>
                      <w:szCs w:val="16"/>
                    </w:rPr>
                    <w:fldChar w:fldCharType="end"/>
                  </w:r>
                </w:p>
              </w:tc>
              <w:tc>
                <w:tcPr>
                  <w:tcW w:type="dxa" w:w="5706"/>
                  <w:tcBorders>
                    <w:top w:val="none" w:color="auto" w:sz="0"/>
                    <w:left w:val="none" w:color="auto" w:sz="0"/>
                    <w:bottom w:val="none" w:color="auto" w:sz="0"/>
                    <w:right w:val="none" w:color="auto" w:sz="0"/>
                  </w:tcBorders>
                  <w:tcMar>
                    <w:top w:type="dxa" w:w="110"/>
                    <w:left w:type="dxa" w:w="260"/>
                    <w:bottom w:type="dxa" w:w="110"/>
                  </w:tcMar>
                </w:tcPr>
                <w:p>
                  <w:pPr>
                    <w:spacing w:after="40"/>
                  </w:pPr>
                  <w:r>
                    <w:rPr>
                      <w:rFonts w:ascii="Oswald" w:cs="Oswald" w:eastAsia="Oswald" w:hAnsi="Oswald"/>
                      <w:color w:val="87ADBA"/>
                      <w:sz w:val="22"/>
                      <w:szCs w:val="22"/>
                    </w:rPr>
                    <w:t xml:space="preserve">03   </w:t>
                  </w:r>
                  <w:r>
                    <w:rPr>
                      <w:rFonts w:ascii="Montserrat" w:cs="Montserrat" w:eastAsia="Montserrat" w:hAnsi="Montserrat"/>
                      <w:b/>
                      <w:bCs/>
                      <w:color w:val="173347"/>
                      <w:spacing w:val="10"/>
                      <w:sz w:val="18"/>
                      <w:szCs w:val="18"/>
                    </w:rPr>
                    <w:t xml:space="preserve">LA DIFFÉRENCIATION, LES PREUVES ET LES LIMITES</w:t>
                  </w:r>
                </w:p>
                <w:p>
                  <w:pPr>
                    <w:spacing w:after="0" w:line="252"/>
                  </w:pPr>
                  <w:r>
                    <w:rPr>
                      <w:rFonts w:ascii="Montserrat" w:cs="Montserrat" w:eastAsia="Montserrat" w:hAnsi="Montserrat"/>
                      <w:color w:val="7F7F7F"/>
                      <w:sz w:val="13"/>
                      <w:szCs w:val="13"/>
                    </w:rPr>
                    <w:t xml:space="preserve">Pourquoi moi plutôt qu'un autre  ·  Les preuves disponibles  ·  Ce que la proposition ne promet pas</w:t>
                  </w:r>
                </w:p>
              </w:tc>
            </w:tr>
          </w:tbl>
          <w:p/>
        </w:tc>
      </w:tr>
    </w:tbl>
    <w:p>
      <w:pPr>
        <w:keepNext/>
        <w:pageBreakBefore/>
        <w:spacing w:after="0" w:before="0" w:line="20" w:lineRule="exact"/>
      </w:pP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7337"/>
        <w:gridCol w:w="2069"/>
      </w:tblGrid>
      <w:tr>
        <w:trPr>
          <w:trHeight w:val="1700" w:hRule="atLeast"/>
        </w:trPr>
        <w:tc>
          <w:tcPr>
            <w:tcW w:type="dxa" w:w="7337"/>
            <w:tcBorders>
              <w:top w:val="none" w:color="auto" w:sz="0"/>
              <w:left w:val="none" w:color="auto" w:sz="0"/>
              <w:bottom w:val="none" w:color="auto" w:sz="0"/>
              <w:right w:val="none" w:color="auto" w:sz="0"/>
            </w:tcBorders>
            <w:tcMar>
              <w:left w:type="dxa" w:w="0"/>
            </w:tcMar>
            <w:vAlign w:val="bottom"/>
          </w:tcPr>
          <w:p>
            <w:pPr>
              <w:keepNext/>
              <w:spacing w:after="80" w:before="0" w:line="240"/>
            </w:pPr>
            <w:r>
              <w:rPr>
                <w:rFonts w:ascii="Montserrat" w:cs="Montserrat" w:eastAsia="Montserrat" w:hAnsi="Montserrat"/>
                <w:b/>
                <w:bCs/>
                <w:color w:val="87ADBA"/>
                <w:spacing w:val="40"/>
                <w:sz w:val="15"/>
                <w:szCs w:val="15"/>
              </w:rPr>
              <w:t xml:space="preserve">CHAPITRE 01</w:t>
            </w:r>
          </w:p>
          <w:p>
            <w:pPr>
              <w:pStyle w:val="Heading1"/>
              <w:keepNext/>
              <w:spacing w:after="0" w:before="0" w:line="600" w:lineRule="exact"/>
            </w:pPr>
            <w:bookmarkStart w:name="chap_0" w:id="101"/>
            <w:r>
              <w:rPr>
                <w:rFonts w:ascii="Oswald ExtraLight" w:cs="Oswald ExtraLight" w:eastAsia="Oswald ExtraLight" w:hAnsi="Oswald ExtraLight"/>
                <w:color w:val="173347"/>
                <w:sz w:val="54"/>
                <w:szCs w:val="54"/>
              </w:rPr>
              <w:t xml:space="preserve">LA DÉMARCHE</w:t>
            </w:r>
            <w:bookmarkEnd w:id="101"/>
            <w:r>
              <w:rPr>
                <w:rFonts w:ascii="Oswald" w:cs="Oswald" w:eastAsia="Oswald" w:hAnsi="Oswald"/>
                <w:b/>
                <w:bCs/>
                <w:color w:val="173347"/>
                <w:sz w:val="54"/>
                <w:szCs w:val="54"/>
              </w:rPr>
              <w:br/>
              <w:t xml:space="preserve">ET LE PROFIL DES PUBLICS</w:t>
            </w:r>
          </w:p>
        </w:tc>
        <w:tc>
          <w:tcPr>
            <w:tcW w:type="dxa" w:w="2069"/>
            <w:tcBorders>
              <w:top w:val="none" w:color="auto" w:sz="0"/>
              <w:left w:val="none" w:color="auto" w:sz="0"/>
              <w:bottom w:val="none" w:color="auto" w:sz="0"/>
              <w:right w:val="none" w:color="auto" w:sz="0"/>
            </w:tcBorders>
            <w:shd w:fill="E9EDEF" w:color="auto" w:val="clear"/>
            <w:tcMar>
              <w:bottom w:type="dxa" w:w="60"/>
              <w:right w:type="dxa" w:w="160"/>
            </w:tcMar>
            <w:vAlign w:val="bottom"/>
          </w:tcPr>
          <w:p>
            <w:pPr>
              <w:spacing w:after="0" w:line="1300" w:lineRule="exact"/>
              <w:jc w:val="right"/>
            </w:pPr>
            <w:r>
              <w:rPr>
                <w:rFonts w:ascii="Oswald ExtraLight" w:cs="Oswald ExtraLight" w:eastAsia="Oswald ExtraLight" w:hAnsi="Oswald ExtraLight"/>
                <w:color w:val="87ADBA"/>
                <w:sz w:val="110"/>
                <w:szCs w:val="110"/>
              </w:rPr>
              <w:t xml:space="preserve">01</w:t>
            </w:r>
          </w:p>
        </w:tc>
      </w:tr>
    </w:tbl>
    <w:p>
      <w:pPr>
        <w:pBdr>
          <w:bottom w:val="single" w:color="173347" w:sz="6"/>
        </w:pBdr>
        <w:spacing w:after="260" w:before="0"/>
      </w:pPr>
    </w:p>
    <w:p>
      <w:pPr>
        <w:spacing w:after="140" w:line="288"/>
        <w:jc w:val="both"/>
      </w:pPr>
      <w:r>
        <w:rPr>
          <w:rFonts w:ascii="Montserrat" w:cs="Montserrat" w:eastAsia="Montserrat" w:hAnsi="Montserrat"/>
          <w:color w:val="58595B"/>
          <w:sz w:val="18"/>
          <w:szCs w:val="18"/>
        </w:rPr>
        <w:t xml:space="preserve">La proposition de valeur a été construite avec le </w:t>
      </w:r>
      <w:r>
        <w:rPr>
          <w:rFonts w:ascii="Montserrat" w:cs="Montserrat" w:eastAsia="Montserrat" w:hAnsi="Montserrat"/>
          <w:b/>
          <w:bCs/>
          <w:color w:val="333635"/>
          <w:sz w:val="18"/>
          <w:szCs w:val="18"/>
        </w:rPr>
        <w:t xml:space="preserve">Value Proposition Canvas</w:t>
      </w:r>
      <w:r>
        <w:rPr>
          <w:rFonts w:ascii="Montserrat" w:cs="Montserrat" w:eastAsia="Montserrat" w:hAnsi="Montserrat"/>
          <w:color w:val="58595B"/>
          <w:sz w:val="18"/>
          <w:szCs w:val="18"/>
        </w:rPr>
        <w:t xml:space="preserve">, qui oblige à formuler ce que le projet apporte depuis le point de vue de ses publics plutôt qu'à partir de ses fonctionnalités. Le profil client décrit ce que chaque public cherche à accomplir, ce qui le freine et ce qu'il espère gagner. La carte de valeur décrit ensuite comment le projet répond à chacun de ces points. L'énoncé final reprend la formule de la fiche pratique : pour qui, quel problème, quelle solution, quel bénéfice, pourquoi nous.</w:t>
      </w:r>
    </w:p>
    <w:p>
      <w:pPr>
        <w:spacing w:after="140" w:line="288"/>
        <w:jc w:val="both"/>
      </w:pPr>
      <w:r>
        <w:rPr>
          <w:rFonts w:ascii="Montserrat" w:cs="Montserrat" w:eastAsia="Montserrat" w:hAnsi="Montserrat"/>
          <w:color w:val="58595B"/>
          <w:sz w:val="18"/>
          <w:szCs w:val="18"/>
        </w:rPr>
        <w:t xml:space="preserve">Un préalable, hérité de l'étude de marché, structure tout le raisonnement : l'utilisateur du jeu n'est pas celui qui décide de son adoption. La proposition doit donc convaincre l'enseignant qui prescrit et l'élève qui joue, sans sacrifier l'un à l'autre. Une valeur qui ne parlerait qu'au prescripteur produirait un outil que les élèves subissent ; l'inverse, un jeu que personne ne fait entrer en classe.</w:t>
      </w: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1563"/>
        <w:gridCol w:w="2605"/>
        <w:gridCol w:w="2605"/>
        <w:gridCol w:w="2633"/>
      </w:tblGrid>
      <w:tr>
        <w:trPr>
          <w:cantSplit/>
          <w:tblHeader/>
        </w:trPr>
        <w:tc>
          <w:tcPr>
            <w:tcW w:type="dxa" w:w="1563"/>
            <w:tcBorders>
              <w:top w:val="single" w:color="333635" w:sz="12"/>
              <w:left w:val="none" w:color="auto" w:sz="0"/>
              <w:bottom w:val="single" w:color="333635" w:sz="6"/>
              <w:right w:val="none" w:color="auto" w:sz="0"/>
            </w:tcBorders>
            <w:tcMar>
              <w:top w:type="dxa" w:w="90"/>
              <w:left w:type="dxa" w:w="60"/>
              <w:bottom w:type="dxa" w:w="90"/>
              <w:right w:type="dxa" w:w="110"/>
            </w:tcMar>
            <w:vAlign w:val="bottom"/>
          </w:tcPr>
          <w:p>
            <w:pPr>
              <w:spacing w:after="0" w:line="252"/>
              <w:jc w:val="left"/>
            </w:pPr>
            <w:r>
              <w:rPr>
                <w:rFonts w:ascii="Montserrat" w:cs="Montserrat" w:eastAsia="Montserrat" w:hAnsi="Montserrat"/>
                <w:b/>
                <w:bCs/>
                <w:color w:val="333635"/>
                <w:spacing w:val="10"/>
                <w:sz w:val="14"/>
                <w:szCs w:val="14"/>
              </w:rPr>
              <w:t xml:space="preserve">PUBLIC</w:t>
            </w:r>
          </w:p>
        </w:tc>
        <w:tc>
          <w:tcPr>
            <w:tcW w:type="dxa" w:w="2605"/>
            <w:tcBorders>
              <w:top w:val="single" w:color="333635" w:sz="12"/>
              <w:left w:val="none" w:color="auto" w:sz="0"/>
              <w:bottom w:val="single" w:color="333635" w:sz="6"/>
              <w:right w:val="none" w:color="auto" w:sz="0"/>
            </w:tcBorders>
            <w:tcMar>
              <w:top w:type="dxa" w:w="90"/>
              <w:left w:type="dxa" w:w="110"/>
              <w:bottom w:type="dxa" w:w="90"/>
              <w:right w:type="dxa" w:w="110"/>
            </w:tcMar>
            <w:vAlign w:val="bottom"/>
          </w:tcPr>
          <w:p>
            <w:pPr>
              <w:spacing w:after="0" w:line="252"/>
              <w:jc w:val="left"/>
            </w:pPr>
            <w:r>
              <w:rPr>
                <w:rFonts w:ascii="Montserrat" w:cs="Montserrat" w:eastAsia="Montserrat" w:hAnsi="Montserrat"/>
                <w:b/>
                <w:bCs/>
                <w:color w:val="333635"/>
                <w:spacing w:val="10"/>
                <w:sz w:val="14"/>
                <w:szCs w:val="14"/>
              </w:rPr>
              <w:t xml:space="preserve">CE QU'IL CHERCHE À ACCOMPLIR</w:t>
            </w:r>
          </w:p>
        </w:tc>
        <w:tc>
          <w:tcPr>
            <w:tcW w:type="dxa" w:w="2605"/>
            <w:tcBorders>
              <w:top w:val="single" w:color="333635" w:sz="12"/>
              <w:left w:val="none" w:color="auto" w:sz="0"/>
              <w:bottom w:val="single" w:color="333635" w:sz="6"/>
              <w:right w:val="none" w:color="auto" w:sz="0"/>
            </w:tcBorders>
            <w:tcMar>
              <w:top w:type="dxa" w:w="90"/>
              <w:left w:type="dxa" w:w="110"/>
              <w:bottom w:type="dxa" w:w="90"/>
              <w:right w:type="dxa" w:w="110"/>
            </w:tcMar>
            <w:vAlign w:val="bottom"/>
          </w:tcPr>
          <w:p>
            <w:pPr>
              <w:spacing w:after="0" w:line="252"/>
              <w:jc w:val="left"/>
            </w:pPr>
            <w:r>
              <w:rPr>
                <w:rFonts w:ascii="Montserrat" w:cs="Montserrat" w:eastAsia="Montserrat" w:hAnsi="Montserrat"/>
                <w:b/>
                <w:bCs/>
                <w:color w:val="333635"/>
                <w:spacing w:val="10"/>
                <w:sz w:val="14"/>
                <w:szCs w:val="14"/>
              </w:rPr>
              <w:t xml:space="preserve">CE QUI LE FREINE</w:t>
            </w:r>
          </w:p>
        </w:tc>
        <w:tc>
          <w:tcPr>
            <w:tcW w:type="dxa" w:w="2633"/>
            <w:tcBorders>
              <w:top w:val="single" w:color="333635" w:sz="12"/>
              <w:left w:val="none" w:color="auto" w:sz="0"/>
              <w:bottom w:val="single" w:color="333635" w:sz="6"/>
              <w:right w:val="none" w:color="auto" w:sz="0"/>
            </w:tcBorders>
            <w:tcMar>
              <w:top w:type="dxa" w:w="90"/>
              <w:left w:type="dxa" w:w="110"/>
              <w:bottom w:type="dxa" w:w="90"/>
              <w:right w:type="dxa" w:w="110"/>
            </w:tcMar>
            <w:vAlign w:val="bottom"/>
          </w:tcPr>
          <w:p>
            <w:pPr>
              <w:spacing w:after="0" w:line="252"/>
              <w:jc w:val="left"/>
            </w:pPr>
            <w:r>
              <w:rPr>
                <w:rFonts w:ascii="Montserrat" w:cs="Montserrat" w:eastAsia="Montserrat" w:hAnsi="Montserrat"/>
                <w:b/>
                <w:bCs/>
                <w:color w:val="333635"/>
                <w:spacing w:val="10"/>
                <w:sz w:val="14"/>
                <w:szCs w:val="14"/>
              </w:rPr>
              <w:t xml:space="preserve">CE QU'IL ESPÈRE GAGNER</w:t>
            </w:r>
          </w:p>
        </w:tc>
      </w:tr>
      <w:tr>
        <w:trPr>
          <w:cantSplit/>
          <w:tblHeader w:val="false"/>
        </w:trPr>
        <w:tc>
          <w:tcPr>
            <w:tcW w:type="dxa" w:w="1563"/>
            <w:tcBorders>
              <w:top w:val="none" w:color="auto" w:sz="0"/>
              <w:left w:val="none" w:color="auto" w:sz="0"/>
              <w:bottom w:val="single" w:color="BCBEC0" w:sz="4"/>
              <w:right w:val="none" w:color="auto" w:sz="0"/>
            </w:tcBorders>
            <w:tcMar>
              <w:top w:type="dxa" w:w="80"/>
              <w:left w:type="dxa" w:w="60"/>
              <w:bottom w:type="dxa" w:w="80"/>
              <w:right w:type="dxa" w:w="110"/>
            </w:tcMar>
            <w:vAlign w:val="top"/>
          </w:tcPr>
          <w:p>
            <w:pPr>
              <w:spacing w:after="0" w:line="252"/>
              <w:jc w:val="left"/>
            </w:pPr>
            <w:r>
              <w:rPr>
                <w:rFonts w:ascii="Montserrat" w:cs="Montserrat" w:eastAsia="Montserrat" w:hAnsi="Montserrat"/>
                <w:b/>
                <w:bCs/>
                <w:color w:val="333635"/>
                <w:sz w:val="15"/>
                <w:szCs w:val="15"/>
              </w:rPr>
              <w:t xml:space="preserve">L'enseignant prescripteur</w:t>
            </w:r>
          </w:p>
        </w:tc>
        <w:tc>
          <w:tcPr>
            <w:tcW w:type="dxa" w:w="2605"/>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Traiter l'éducation au développement durable, inscrite aux programmes, autrement qu'en format descendant, avec une classe où les élèves TND sont présents mais rarement outillés.</w:t>
            </w:r>
          </w:p>
        </w:tc>
        <w:tc>
          <w:tcPr>
            <w:tcW w:type="dxa" w:w="2605"/>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Le temps de préparation, ressource la plus rare. La séance qui échoue pour une raison technique. Le passage en conseil d'administration au-delà de 1 000 €.</w:t>
            </w:r>
          </w:p>
        </w:tc>
        <w:tc>
          <w:tcPr>
            <w:tcW w:type="dxa" w:w="2633"/>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Une séance qui fonctionne du premier coup, des élèves engagés y compris ceux qui décrochent, un argument simple à porter devant sa direction.</w:t>
            </w:r>
          </w:p>
        </w:tc>
      </w:tr>
      <w:tr>
        <w:trPr>
          <w:cantSplit/>
          <w:tblHeader w:val="false"/>
        </w:trPr>
        <w:tc>
          <w:tcPr>
            <w:tcW w:type="dxa" w:w="1563"/>
            <w:tcBorders>
              <w:top w:val="none" w:color="auto" w:sz="0"/>
              <w:left w:val="none" w:color="auto" w:sz="0"/>
              <w:bottom w:val="single" w:color="BCBEC0" w:sz="4"/>
              <w:right w:val="none" w:color="auto" w:sz="0"/>
            </w:tcBorders>
            <w:tcMar>
              <w:top w:type="dxa" w:w="80"/>
              <w:left w:type="dxa" w:w="60"/>
              <w:bottom w:type="dxa" w:w="80"/>
              <w:right w:type="dxa" w:w="110"/>
            </w:tcMar>
            <w:vAlign w:val="top"/>
          </w:tcPr>
          <w:p>
            <w:pPr>
              <w:spacing w:after="0" w:line="252"/>
              <w:jc w:val="left"/>
            </w:pPr>
            <w:r>
              <w:rPr>
                <w:rFonts w:ascii="Montserrat" w:cs="Montserrat" w:eastAsia="Montserrat" w:hAnsi="Montserrat"/>
                <w:b/>
                <w:bCs/>
                <w:color w:val="333635"/>
                <w:sz w:val="15"/>
                <w:szCs w:val="15"/>
              </w:rPr>
              <w:t xml:space="preserve">L'élève présentant un TND</w:t>
            </w:r>
          </w:p>
        </w:tc>
        <w:tc>
          <w:tcPr>
            <w:tcW w:type="dxa" w:w="2605"/>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Suivre l'activité au même rythme que la classe, sans que le dispositif le désigne comme différent.</w:t>
            </w:r>
          </w:p>
        </w:tc>
        <w:tc>
          <w:tcPr>
            <w:tcW w:type="dxa" w:w="2605"/>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Une lecture lente et coûteuse qui transforme chaque écran en obstacle. Les supports adaptés distribués à part, qui stigmatisent.</w:t>
            </w:r>
          </w:p>
        </w:tc>
        <w:tc>
          <w:tcPr>
            <w:tcW w:type="dxa" w:w="2633"/>
            <w:tcBorders>
              <w:top w:val="none" w:color="auto" w:sz="0"/>
              <w:left w:val="none" w:color="auto" w:sz="0"/>
              <w:bottom w:val="single" w:color="BCBEC0" w:sz="4"/>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Vivre la même histoire que les autres, avec des choix qui lui appartiennent.</w:t>
            </w:r>
          </w:p>
        </w:tc>
      </w:tr>
      <w:tr>
        <w:trPr>
          <w:cantSplit/>
          <w:tblHeader w:val="false"/>
        </w:trPr>
        <w:tc>
          <w:tcPr>
            <w:tcW w:type="dxa" w:w="1563"/>
            <w:tcBorders>
              <w:top w:val="none" w:color="auto" w:sz="0"/>
              <w:left w:val="none" w:color="auto" w:sz="0"/>
              <w:bottom w:val="single" w:color="333635" w:sz="12"/>
              <w:right w:val="none" w:color="auto" w:sz="0"/>
            </w:tcBorders>
            <w:tcMar>
              <w:top w:type="dxa" w:w="80"/>
              <w:left w:type="dxa" w:w="60"/>
              <w:bottom w:type="dxa" w:w="80"/>
              <w:right w:type="dxa" w:w="110"/>
            </w:tcMar>
            <w:vAlign w:val="top"/>
          </w:tcPr>
          <w:p>
            <w:pPr>
              <w:spacing w:after="0" w:line="252"/>
              <w:jc w:val="left"/>
            </w:pPr>
            <w:r>
              <w:rPr>
                <w:rFonts w:ascii="Montserrat" w:cs="Montserrat" w:eastAsia="Montserrat" w:hAnsi="Montserrat"/>
                <w:b/>
                <w:bCs/>
                <w:color w:val="333635"/>
                <w:sz w:val="15"/>
                <w:szCs w:val="15"/>
              </w:rPr>
              <w:t xml:space="preserve">L'élève sans besoin spécifique</w:t>
            </w:r>
          </w:p>
        </w:tc>
        <w:tc>
          <w:tcPr>
            <w:tcW w:type="dxa" w:w="2605"/>
            <w:tcBorders>
              <w:top w:val="none" w:color="auto" w:sz="0"/>
              <w:left w:val="none" w:color="auto" w:sz="0"/>
              <w:bottom w:val="single" w:color="333635" w:sz="12"/>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S'amuser réellement. Son référentiel de qualité, formé par plusieurs heures de jeu par semaine, est élevé.</w:t>
            </w:r>
          </w:p>
        </w:tc>
        <w:tc>
          <w:tcPr>
            <w:tcW w:type="dxa" w:w="2605"/>
            <w:tcBorders>
              <w:top w:val="none" w:color="auto" w:sz="0"/>
              <w:left w:val="none" w:color="auto" w:sz="0"/>
              <w:bottom w:val="single" w:color="333635" w:sz="12"/>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Le contenu scolaire déguisé, qu'il détecte immédiatement et dont il se désengage.</w:t>
            </w:r>
          </w:p>
        </w:tc>
        <w:tc>
          <w:tcPr>
            <w:tcW w:type="dxa" w:w="2633"/>
            <w:tcBorders>
              <w:top w:val="none" w:color="auto" w:sz="0"/>
              <w:left w:val="none" w:color="auto" w:sz="0"/>
              <w:bottom w:val="single" w:color="333635" w:sz="12"/>
              <w:right w:val="none" w:color="auto" w:sz="0"/>
            </w:tcBorders>
            <w:tcMar>
              <w:top w:type="dxa" w:w="80"/>
              <w:left w:type="dxa" w:w="110"/>
              <w:bottom w:type="dxa" w:w="80"/>
              <w:right w:type="dxa" w:w="110"/>
            </w:tcMar>
            <w:vAlign w:val="top"/>
          </w:tcPr>
          <w:p>
            <w:pPr>
              <w:spacing w:after="0" w:line="252"/>
              <w:jc w:val="left"/>
            </w:pPr>
            <w:r>
              <w:rPr>
                <w:rFonts w:ascii="Montserrat" w:cs="Montserrat" w:eastAsia="Montserrat" w:hAnsi="Montserrat"/>
                <w:b w:val="false"/>
                <w:bCs w:val="false"/>
                <w:color w:val="58595B"/>
                <w:sz w:val="15"/>
                <w:szCs w:val="15"/>
              </w:rPr>
              <w:t xml:space="preserve">Un récit qui tient debout et des décisions qui changent l'histoire.</w:t>
            </w:r>
          </w:p>
        </w:tc>
      </w:tr>
    </w:tbl>
    <w:p>
      <w:pPr>
        <w:spacing w:after="220" w:before="0" w:line="240"/>
      </w:pPr>
    </w:p>
    <w:p>
      <w:pPr>
        <w:keepNext/>
        <w:pageBreakBefore/>
        <w:spacing w:after="0" w:before="0" w:line="20" w:lineRule="exact"/>
      </w:pP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7337"/>
        <w:gridCol w:w="2069"/>
      </w:tblGrid>
      <w:tr>
        <w:trPr>
          <w:trHeight w:val="1700" w:hRule="atLeast"/>
        </w:trPr>
        <w:tc>
          <w:tcPr>
            <w:tcW w:type="dxa" w:w="7337"/>
            <w:tcBorders>
              <w:top w:val="none" w:color="auto" w:sz="0"/>
              <w:left w:val="none" w:color="auto" w:sz="0"/>
              <w:bottom w:val="none" w:color="auto" w:sz="0"/>
              <w:right w:val="none" w:color="auto" w:sz="0"/>
            </w:tcBorders>
            <w:tcMar>
              <w:left w:type="dxa" w:w="0"/>
            </w:tcMar>
            <w:vAlign w:val="bottom"/>
          </w:tcPr>
          <w:p>
            <w:pPr>
              <w:keepNext/>
              <w:spacing w:after="80" w:before="0" w:line="240"/>
            </w:pPr>
            <w:r>
              <w:rPr>
                <w:rFonts w:ascii="Montserrat" w:cs="Montserrat" w:eastAsia="Montserrat" w:hAnsi="Montserrat"/>
                <w:b/>
                <w:bCs/>
                <w:color w:val="87ADBA"/>
                <w:spacing w:val="40"/>
                <w:sz w:val="15"/>
                <w:szCs w:val="15"/>
              </w:rPr>
              <w:t xml:space="preserve">CHAPITRE 02</w:t>
            </w:r>
          </w:p>
          <w:p>
            <w:pPr>
              <w:pStyle w:val="Heading1"/>
              <w:keepNext/>
              <w:spacing w:after="0" w:before="0" w:line="700" w:lineRule="exact"/>
            </w:pPr>
            <w:bookmarkStart w:name="chap_1" w:id="102"/>
            <w:r>
              <w:rPr>
                <w:rFonts w:ascii="Oswald ExtraLight" w:cs="Oswald ExtraLight" w:eastAsia="Oswald ExtraLight" w:hAnsi="Oswald ExtraLight"/>
                <w:color w:val="173347"/>
                <w:sz w:val="64"/>
                <w:szCs w:val="64"/>
              </w:rPr>
              <w:t xml:space="preserve">LA CARTE</w:t>
            </w:r>
            <w:bookmarkEnd w:id="102"/>
            <w:r>
              <w:rPr>
                <w:rFonts w:ascii="Oswald" w:cs="Oswald" w:eastAsia="Oswald" w:hAnsi="Oswald"/>
                <w:b/>
                <w:bCs/>
                <w:color w:val="173347"/>
                <w:sz w:val="64"/>
                <w:szCs w:val="64"/>
              </w:rPr>
              <w:br/>
              <w:t xml:space="preserve">DE VALEUR ET L'ÉNONCÉ</w:t>
            </w:r>
          </w:p>
        </w:tc>
        <w:tc>
          <w:tcPr>
            <w:tcW w:type="dxa" w:w="2069"/>
            <w:tcBorders>
              <w:top w:val="none" w:color="auto" w:sz="0"/>
              <w:left w:val="none" w:color="auto" w:sz="0"/>
              <w:bottom w:val="none" w:color="auto" w:sz="0"/>
              <w:right w:val="none" w:color="auto" w:sz="0"/>
            </w:tcBorders>
            <w:shd w:fill="E9EDEF" w:color="auto" w:val="clear"/>
            <w:tcMar>
              <w:bottom w:type="dxa" w:w="60"/>
              <w:right w:type="dxa" w:w="160"/>
            </w:tcMar>
            <w:vAlign w:val="bottom"/>
          </w:tcPr>
          <w:p>
            <w:pPr>
              <w:spacing w:after="0" w:line="1300" w:lineRule="exact"/>
              <w:jc w:val="right"/>
            </w:pPr>
            <w:r>
              <w:rPr>
                <w:rFonts w:ascii="Oswald ExtraLight" w:cs="Oswald ExtraLight" w:eastAsia="Oswald ExtraLight" w:hAnsi="Oswald ExtraLight"/>
                <w:color w:val="87ADBA"/>
                <w:sz w:val="110"/>
                <w:szCs w:val="110"/>
              </w:rPr>
              <w:t xml:space="preserve">02</w:t>
            </w:r>
          </w:p>
        </w:tc>
      </w:tr>
    </w:tbl>
    <w:p>
      <w:pPr>
        <w:pBdr>
          <w:bottom w:val="single" w:color="173347" w:sz="6"/>
        </w:pBdr>
        <w:spacing w:after="260" w:before="0"/>
      </w:pP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LE PRODUIT</w:t>
      </w:r>
    </w:p>
    <w:p>
      <w:pPr>
        <w:spacing w:after="140" w:line="288"/>
        <w:jc w:val="both"/>
      </w:pPr>
      <w:r>
        <w:rPr>
          <w:rFonts w:ascii="Montserrat" w:cs="Montserrat" w:eastAsia="Montserrat" w:hAnsi="Montserrat"/>
          <w:color w:val="58595B"/>
          <w:sz w:val="18"/>
          <w:szCs w:val="18"/>
        </w:rPr>
        <w:t xml:space="preserve">Un jeu narratif à embranchements (</w:t>
      </w:r>
      <w:r>
        <w:rPr>
          <w:rFonts w:ascii="Montserrat" w:cs="Montserrat" w:eastAsia="Montserrat" w:hAnsi="Montserrat"/>
          <w:color w:val="58595B"/>
          <w:sz w:val="18"/>
          <w:szCs w:val="18"/>
        </w:rPr>
        <w:t xml:space="preserve">visual</w:t>
      </w:r>
      <w:r>
        <w:rPr>
          <w:rFonts w:ascii="Montserrat" w:cs="Montserrat" w:eastAsia="Montserrat" w:hAnsi="Montserrat"/>
          <w:color w:val="58595B"/>
          <w:sz w:val="18"/>
          <w:szCs w:val="18"/>
        </w:rPr>
        <w:t xml:space="preserve"> </w:t>
      </w:r>
      <w:r>
        <w:rPr>
          <w:rFonts w:ascii="Montserrat" w:cs="Montserrat" w:eastAsia="Montserrat" w:hAnsi="Montserrat"/>
          <w:color w:val="58595B"/>
          <w:sz w:val="18"/>
          <w:szCs w:val="18"/>
        </w:rPr>
        <w:t xml:space="preserve">novel</w:t>
      </w:r>
      <w:r>
        <w:rPr>
          <w:rFonts w:ascii="Montserrat" w:cs="Montserrat" w:eastAsia="Montserrat" w:hAnsi="Montserrat"/>
          <w:color w:val="58595B"/>
          <w:sz w:val="18"/>
          <w:szCs w:val="18"/>
        </w:rPr>
        <w:t xml:space="preserve">) développé sous </w:t>
      </w:r>
      <w:r>
        <w:rPr>
          <w:rFonts w:ascii="Montserrat" w:cs="Montserrat" w:eastAsia="Montserrat" w:hAnsi="Montserrat"/>
          <w:color w:val="58595B"/>
          <w:sz w:val="18"/>
          <w:szCs w:val="18"/>
        </w:rPr>
        <w:t xml:space="preserve">Ren'Py</w:t>
      </w:r>
      <w:r>
        <w:rPr>
          <w:rFonts w:ascii="Montserrat" w:cs="Montserrat" w:eastAsia="Montserrat" w:hAnsi="Montserrat"/>
          <w:color w:val="58595B"/>
          <w:sz w:val="18"/>
          <w:szCs w:val="18"/>
        </w:rPr>
        <w:t xml:space="preserve">, jouable en navigateur, sans installation ni création de compte. L'histoire suit Kylian et Mégane, deux collégiens perdus en forêt après avoir suivi une licorne ; chaque étape de leur exploration soulève une question d'éco-responsabilité. Une partie tient dans une séance de cours, et se prolonge hors écran sous la conduite de l'enseignant.</w:t>
      </w: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LES RÉDUCTEURS DE FREINS</w:t>
      </w:r>
    </w:p>
    <w:p>
      <w:pPr>
        <w:pStyle w:val="ListParagraph"/>
        <w:numPr>
          <w:ilvl w:val="0"/>
          <w:numId w:val="2"/>
        </w:numPr>
        <w:spacing w:after="90" w:line="276"/>
        <w:jc w:val="left"/>
      </w:pPr>
      <w:r>
        <w:rPr>
          <w:rFonts w:ascii="Montserrat" w:cs="Montserrat" w:eastAsia="Montserrat" w:hAnsi="Montserrat"/>
          <w:color w:val="58595B"/>
          <w:sz w:val="18"/>
          <w:szCs w:val="18"/>
        </w:rPr>
        <w:t xml:space="preserve">L'accessibilité est intégrée dès la conception, pas ajoutée après coup : texte segmenté en unités courtes, appui systématique du texte par l'image, paramétrage discret que chaque élève active sans que cela se voie. La version accessible est la version.</w:t>
      </w:r>
    </w:p>
    <w:p>
      <w:pPr>
        <w:pStyle w:val="ListParagraph"/>
        <w:numPr>
          <w:ilvl w:val="0"/>
          <w:numId w:val="2"/>
        </w:numPr>
        <w:spacing w:after="90" w:line="276"/>
        <w:jc w:val="left"/>
      </w:pPr>
      <w:r>
        <w:rPr>
          <w:rFonts w:ascii="Montserrat" w:cs="Montserrat" w:eastAsia="Montserrat" w:hAnsi="Montserrat"/>
          <w:color w:val="58595B"/>
          <w:sz w:val="18"/>
          <w:szCs w:val="18"/>
        </w:rPr>
        <w:t xml:space="preserve">La version navigateur neutralise le risque technique qui fait échouer les séances, et évite de solliciter le référent numérique ou la DSI académique.</w:t>
      </w:r>
    </w:p>
    <w:p>
      <w:pPr>
        <w:pStyle w:val="ListParagraph"/>
        <w:numPr>
          <w:ilvl w:val="0"/>
          <w:numId w:val="2"/>
        </w:numPr>
        <w:spacing w:after="90" w:line="276"/>
        <w:jc w:val="left"/>
      </w:pPr>
      <w:r>
        <w:rPr>
          <w:rFonts w:ascii="Montserrat" w:cs="Montserrat" w:eastAsia="Montserrat" w:hAnsi="Montserrat"/>
          <w:color w:val="58595B"/>
          <w:sz w:val="18"/>
          <w:szCs w:val="18"/>
        </w:rPr>
        <w:t xml:space="preserve">La gratuité pour les élèves et leurs familles, financée par l'abonnement annuel de l'établissement calibré sous le seuil des 1 000 €, raccourcit le circuit de décision.</w:t>
      </w:r>
    </w:p>
    <w:p>
      <w:pPr>
        <w:pStyle w:val="ListParagraph"/>
        <w:numPr>
          <w:ilvl w:val="0"/>
          <w:numId w:val="2"/>
        </w:numPr>
        <w:spacing w:after="90" w:line="276"/>
        <w:jc w:val="left"/>
      </w:pPr>
      <w:r>
        <w:rPr>
          <w:rFonts w:ascii="Montserrat" w:cs="Montserrat" w:eastAsia="Montserrat" w:hAnsi="Montserrat"/>
          <w:color w:val="58595B"/>
          <w:sz w:val="18"/>
          <w:szCs w:val="18"/>
        </w:rPr>
        <w:t xml:space="preserve">Aucune donnée personnelle n'est collectée, ce qui évacue le sujet de la conformité avant qu'il soit posé.</w:t>
      </w: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LES CRÉATEURS DE GAINS</w:t>
      </w:r>
    </w:p>
    <w:p>
      <w:pPr>
        <w:pStyle w:val="ListParagraph"/>
        <w:numPr>
          <w:ilvl w:val="0"/>
          <w:numId w:val="2"/>
        </w:numPr>
        <w:spacing w:after="90" w:line="276"/>
        <w:jc w:val="left"/>
      </w:pPr>
      <w:r>
        <w:rPr>
          <w:rFonts w:ascii="Montserrat" w:cs="Montserrat" w:eastAsia="Montserrat" w:hAnsi="Montserrat"/>
          <w:color w:val="58595B"/>
          <w:sz w:val="18"/>
          <w:szCs w:val="18"/>
        </w:rPr>
        <w:t xml:space="preserve">Le récit à choix donne à l'élève une agentivité réelle : ses décisions modifient l'histoire, ce qui distingue le jeu d'un exercice habillé.</w:t>
      </w:r>
    </w:p>
    <w:p>
      <w:pPr>
        <w:pStyle w:val="ListParagraph"/>
        <w:numPr>
          <w:ilvl w:val="0"/>
          <w:numId w:val="2"/>
        </w:numPr>
        <w:spacing w:after="90" w:line="276"/>
        <w:jc w:val="left"/>
      </w:pPr>
      <w:r>
        <w:rPr>
          <w:rFonts w:ascii="Montserrat" w:cs="Montserrat" w:eastAsia="Montserrat" w:hAnsi="Montserrat"/>
          <w:color w:val="58595B"/>
          <w:sz w:val="18"/>
          <w:szCs w:val="18"/>
        </w:rPr>
        <w:t xml:space="preserve">L'enseignant reçoit un outil clé en main, aligné sur les programmes, dont le format épouse les recommandations publiques de pédagogie adaptée : structurer, séquencer, verbaliser, personnaliser.</w:t>
      </w:r>
    </w:p>
    <w:p>
      <w:pPr>
        <w:pStyle w:val="ListParagraph"/>
        <w:numPr>
          <w:ilvl w:val="0"/>
          <w:numId w:val="2"/>
        </w:numPr>
        <w:spacing w:after="90" w:line="276"/>
        <w:jc w:val="left"/>
      </w:pPr>
      <w:r>
        <w:rPr>
          <w:rFonts w:ascii="Montserrat" w:cs="Montserrat" w:eastAsia="Montserrat" w:hAnsi="Montserrat"/>
          <w:color w:val="58595B"/>
          <w:sz w:val="18"/>
          <w:szCs w:val="18"/>
        </w:rPr>
        <w:t xml:space="preserve">Le coût par élève se compare favorablement au repère du manuel numérique pour les établissements qui déploient sur plusieurs classes.</w:t>
      </w:r>
    </w:p>
    <w:p>
      <w:pPr>
        <w:pStyle w:val="Heading2"/>
        <w:keepNext/>
        <w:pageBreakBefore/>
        <w:pBdr>
          <w:left w:val="single" w:color="87ADBA" w:sz="24" w:space="8"/>
        </w:pBdr>
        <w:spacing w:after="110" w:before="0"/>
        <w:ind w:left="170"/>
      </w:pPr>
      <w:r>
        <w:rPr>
          <w:rFonts w:ascii="Montserrat" w:cs="Montserrat" w:eastAsia="Montserrat" w:hAnsi="Montserrat"/>
          <w:b/>
          <w:bCs/>
          <w:color w:val="333635"/>
          <w:spacing w:val="10"/>
          <w:sz w:val="20"/>
          <w:szCs w:val="20"/>
        </w:rPr>
        <w:t xml:space="preserve">L'ÉNONCÉ DE LA PROPOSITION DE VALEUR</w:t>
      </w: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9406"/>
      </w:tblGrid>
      <w:tr>
        <w:trPr>
          <w:cantSplit/>
        </w:trPr>
        <w:tc>
          <w:tcPr>
            <w:tcW w:type="dxa" w:w="9406"/>
            <w:tcBorders>
              <w:top w:val="none" w:color="auto" w:sz="0"/>
              <w:left w:val="none" w:color="auto" w:sz="0"/>
              <w:bottom w:val="none" w:color="auto" w:sz="0"/>
              <w:right w:val="none" w:color="auto" w:sz="0"/>
            </w:tcBorders>
            <w:shd w:fill="173347" w:color="auto" w:val="clear"/>
            <w:tcMar>
              <w:top w:type="dxa" w:w="280"/>
              <w:left w:type="dxa" w:w="560"/>
              <w:bottom w:type="dxa" w:w="360"/>
              <w:right w:type="dxa" w:w="560"/>
            </w:tcMar>
          </w:tcPr>
          <w:p>
            <w:pPr>
              <w:spacing w:after="0" w:line="560" w:lineRule="exact"/>
            </w:pPr>
            <w:r>
              <w:rPr>
                <w:rFonts w:ascii="Oswald" w:cs="Oswald" w:eastAsia="Oswald" w:hAnsi="Oswald"/>
                <w:b/>
                <w:bCs/>
                <w:color w:val="A7C1CB"/>
                <w:sz w:val="72"/>
                <w:szCs w:val="72"/>
              </w:rPr>
              <w:t xml:space="preserve">“</w:t>
            </w:r>
          </w:p>
          <w:p>
            <w:pPr>
              <w:spacing w:after="140"/>
            </w:pPr>
            <w:r>
              <w:rPr>
                <w:rFonts w:ascii="Montserrat" w:cs="Montserrat" w:eastAsia="Montserrat" w:hAnsi="Montserrat"/>
                <w:b/>
                <w:bCs/>
                <w:color w:val="A7C1CB"/>
                <w:spacing w:val="40"/>
                <w:sz w:val="15"/>
                <w:szCs w:val="15"/>
              </w:rPr>
              <w:t xml:space="preserve">PROPOSITION DE VALEUR</w:t>
            </w:r>
          </w:p>
          <w:p>
            <w:pPr>
              <w:spacing w:after="0" w:line="336"/>
            </w:pPr>
            <w:r>
              <w:rPr>
                <w:rFonts w:ascii="Montserrat" w:cs="Montserrat" w:eastAsia="Montserrat" w:hAnsi="Montserrat"/>
                <w:color w:val="FFFFFF"/>
                <w:sz w:val="22"/>
                <w:szCs w:val="22"/>
              </w:rPr>
              <w:t xml:space="preserve">Pour les enseignants de collège qui doivent traiter l'éducation au développement durable avec des classes où les élèves TND sont présents mais rarement outillés, Les Gardiens du Monde permet de mener en une séance un récit interactif accessible à tous, gratuit pour les élèves et leurs familles, grâce à une accessibilité conçue dès l'origine et à un positionnement qu'aucune offre identifiée n'occupe aujourd'hui.</w:t>
            </w:r>
          </w:p>
        </w:tc>
      </w:tr>
    </w:tbl>
    <w:p>
      <w:pPr>
        <w:spacing w:after="240" w:before="0" w:line="240"/>
      </w:pPr>
    </w:p>
    <w:p>
      <w:pPr>
        <w:spacing w:after="140" w:line="288"/>
        <w:jc w:val="both"/>
      </w:pPr>
      <w:r>
        <w:rPr>
          <w:rFonts w:ascii="Montserrat" w:cs="Montserrat" w:eastAsia="Montserrat" w:hAnsi="Montserrat"/>
          <w:color w:val="58595B"/>
          <w:sz w:val="18"/>
          <w:szCs w:val="18"/>
        </w:rPr>
        <w:t xml:space="preserve">Chaque segment de cette phrase renvoie à un constat de l'étude de marché. « Rarement outillés » s'appuie sur le besoin réel des enseignants et sur l'absence de conception accessible chez les acteurs recensés. « En une séance » répond au frein du temps de préparation et au cadre du numérique raisonné fixé par la circulaire de juillet 2025. « Gratuit pour les élèves et leurs familles » maintient la distinction du modèle : l'établissement finance. « Aucune offre identifiée » remplace volontairement « le seul », parce qu'un benchmark de </w:t>
      </w:r>
      <w:r>
        <w:rPr>
          <w:rFonts w:ascii="Montserrat" w:cs="Montserrat" w:eastAsia="Montserrat" w:hAnsi="Montserrat"/>
          <w:color w:val="58595B"/>
          <w:sz w:val="18"/>
          <w:szCs w:val="18"/>
        </w:rPr>
        <w:t xml:space="preserve">21</w:t>
      </w:r>
      <w:r>
        <w:rPr>
          <w:rFonts w:ascii="Montserrat" w:cs="Montserrat" w:eastAsia="Montserrat" w:hAnsi="Montserrat"/>
          <w:color w:val="58595B"/>
          <w:sz w:val="18"/>
          <w:szCs w:val="18"/>
        </w:rPr>
        <w:t xml:space="preserve"> acteurs documente une absence constatée, pas une exclusivité prouvée.</w:t>
      </w:r>
    </w:p>
    <w:p>
      <w:pPr>
        <w:keepNext/>
        <w:pageBreakBefore/>
        <w:spacing w:after="0" w:before="0" w:line="20" w:lineRule="exact"/>
      </w:pPr>
    </w:p>
    <w:tbl>
      <w:tblPr>
        <w:tblW w:type="dxa" w:w="9406"/>
        <w:tblBorders>
          <w:top w:val="none" w:color="auto" w:sz="0"/>
          <w:left w:val="none" w:color="auto" w:sz="0"/>
          <w:bottom w:val="none" w:color="auto" w:sz="0"/>
          <w:right w:val="none" w:color="auto" w:sz="0"/>
          <w:insideH w:val="none" w:color="auto" w:sz="0"/>
          <w:insideV w:val="none" w:color="auto" w:sz="0"/>
        </w:tblBorders>
        <w:tblLayout w:type="fixed"/>
      </w:tblPr>
      <w:tblGrid>
        <w:gridCol w:w="7337"/>
        <w:gridCol w:w="2069"/>
      </w:tblGrid>
      <w:tr>
        <w:trPr>
          <w:trHeight w:val="1700" w:hRule="atLeast"/>
        </w:trPr>
        <w:tc>
          <w:tcPr>
            <w:tcW w:type="dxa" w:w="7337"/>
            <w:tcBorders>
              <w:top w:val="none" w:color="auto" w:sz="0"/>
              <w:left w:val="none" w:color="auto" w:sz="0"/>
              <w:bottom w:val="none" w:color="auto" w:sz="0"/>
              <w:right w:val="none" w:color="auto" w:sz="0"/>
            </w:tcBorders>
            <w:tcMar>
              <w:left w:type="dxa" w:w="0"/>
            </w:tcMar>
            <w:vAlign w:val="bottom"/>
          </w:tcPr>
          <w:p>
            <w:pPr>
              <w:keepNext/>
              <w:spacing w:after="80" w:before="0" w:line="240"/>
            </w:pPr>
            <w:r>
              <w:rPr>
                <w:rFonts w:ascii="Montserrat" w:cs="Montserrat" w:eastAsia="Montserrat" w:hAnsi="Montserrat"/>
                <w:b/>
                <w:bCs/>
                <w:color w:val="87ADBA"/>
                <w:spacing w:val="40"/>
                <w:sz w:val="15"/>
                <w:szCs w:val="15"/>
              </w:rPr>
              <w:t xml:space="preserve">CHAPITRE 03</w:t>
            </w:r>
          </w:p>
          <w:p>
            <w:pPr>
              <w:pStyle w:val="Heading1"/>
              <w:keepNext/>
              <w:spacing w:after="0" w:before="0" w:line="600" w:lineRule="exact"/>
            </w:pPr>
            <w:bookmarkStart w:name="chap_2" w:id="103"/>
            <w:r>
              <w:rPr>
                <w:rFonts w:ascii="Oswald ExtraLight" w:cs="Oswald ExtraLight" w:eastAsia="Oswald ExtraLight" w:hAnsi="Oswald ExtraLight"/>
                <w:color w:val="173347"/>
                <w:sz w:val="54"/>
                <w:szCs w:val="54"/>
              </w:rPr>
              <w:t xml:space="preserve">LA DIFFÉRENCIATION,</w:t>
            </w:r>
            <w:bookmarkEnd w:id="103"/>
            <w:r>
              <w:rPr>
                <w:rFonts w:ascii="Oswald" w:cs="Oswald" w:eastAsia="Oswald" w:hAnsi="Oswald"/>
                <w:b/>
                <w:bCs/>
                <w:color w:val="173347"/>
                <w:sz w:val="54"/>
                <w:szCs w:val="54"/>
              </w:rPr>
              <w:br/>
              <w:t xml:space="preserve">LES PREUVES ET LES LIMITES</w:t>
            </w:r>
          </w:p>
        </w:tc>
        <w:tc>
          <w:tcPr>
            <w:tcW w:type="dxa" w:w="2069"/>
            <w:tcBorders>
              <w:top w:val="none" w:color="auto" w:sz="0"/>
              <w:left w:val="none" w:color="auto" w:sz="0"/>
              <w:bottom w:val="none" w:color="auto" w:sz="0"/>
              <w:right w:val="none" w:color="auto" w:sz="0"/>
            </w:tcBorders>
            <w:shd w:fill="E9EDEF" w:color="auto" w:val="clear"/>
            <w:tcMar>
              <w:bottom w:type="dxa" w:w="60"/>
              <w:right w:type="dxa" w:w="160"/>
            </w:tcMar>
            <w:vAlign w:val="bottom"/>
          </w:tcPr>
          <w:p>
            <w:pPr>
              <w:spacing w:after="0" w:line="1300" w:lineRule="exact"/>
              <w:jc w:val="right"/>
            </w:pPr>
            <w:r>
              <w:rPr>
                <w:rFonts w:ascii="Oswald ExtraLight" w:cs="Oswald ExtraLight" w:eastAsia="Oswald ExtraLight" w:hAnsi="Oswald ExtraLight"/>
                <w:color w:val="87ADBA"/>
                <w:sz w:val="110"/>
                <w:szCs w:val="110"/>
              </w:rPr>
              <w:t xml:space="preserve">03</w:t>
            </w:r>
          </w:p>
        </w:tc>
      </w:tr>
    </w:tbl>
    <w:p>
      <w:pPr>
        <w:pBdr>
          <w:bottom w:val="single" w:color="173347" w:sz="6"/>
        </w:pBdr>
        <w:spacing w:after="260" w:before="0"/>
      </w:pP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POURQUOI MOI PLUTÔT QU'UN AUTRE</w:t>
      </w:r>
    </w:p>
    <w:p>
      <w:pPr>
        <w:spacing w:after="140" w:line="288"/>
        <w:jc w:val="both"/>
      </w:pPr>
      <w:r>
        <w:rPr>
          <w:rFonts w:ascii="Montserrat" w:cs="Montserrat" w:eastAsia="Montserrat" w:hAnsi="Montserrat"/>
          <w:color w:val="58595B"/>
          <w:sz w:val="18"/>
          <w:szCs w:val="18"/>
        </w:rPr>
        <w:t xml:space="preserve">La différenciation ne repose pas sur une supériorité proclamée du format, mais sur une combinaison que les offres identifiées n'occupent pas. Le </w:t>
      </w:r>
      <w:r>
        <w:rPr>
          <w:rFonts w:ascii="Montserrat" w:cs="Montserrat" w:eastAsia="Montserrat" w:hAnsi="Montserrat"/>
          <w:color w:val="58595B"/>
          <w:sz w:val="18"/>
          <w:szCs w:val="18"/>
        </w:rPr>
        <w:t xml:space="preserve">visual</w:t>
      </w:r>
      <w:r>
        <w:rPr>
          <w:rFonts w:ascii="Montserrat" w:cs="Montserrat" w:eastAsia="Montserrat" w:hAnsi="Montserrat"/>
          <w:color w:val="58595B"/>
          <w:sz w:val="18"/>
          <w:szCs w:val="18"/>
        </w:rPr>
        <w:t xml:space="preserve"> </w:t>
      </w:r>
      <w:r>
        <w:rPr>
          <w:rFonts w:ascii="Montserrat" w:cs="Montserrat" w:eastAsia="Montserrat" w:hAnsi="Montserrat"/>
          <w:color w:val="58595B"/>
          <w:sz w:val="18"/>
          <w:szCs w:val="18"/>
        </w:rPr>
        <w:t xml:space="preserve">novel</w:t>
      </w:r>
      <w:r>
        <w:rPr>
          <w:rFonts w:ascii="Montserrat" w:cs="Montserrat" w:eastAsia="Montserrat" w:hAnsi="Montserrat"/>
          <w:color w:val="58595B"/>
          <w:sz w:val="18"/>
          <w:szCs w:val="18"/>
        </w:rPr>
        <w:t xml:space="preserve"> est, sur ce marché, un format pertinent et sous-exploité. Pertinent, parce que sa structure, du texte court, une image porteuse de sens, un rythme laissé au lecteur, correspond aux clés de pédagogie adaptée publiées pour les collégiens TND et aux principes de conception issus de la recherche sur les jeux narratifs. Sous-exploité, parce que les simulations environnementales gratuites n'ont ni personnage ni choix incarné, et que les spécialistes de l'accessibilité n'ont pas investi le thème écologique.</w:t>
      </w:r>
    </w:p>
    <w:p>
      <w:pPr>
        <w:spacing w:after="140" w:line="288"/>
        <w:jc w:val="both"/>
      </w:pPr>
      <w:r>
        <w:rPr>
          <w:rFonts w:ascii="Montserrat" w:cs="Montserrat" w:eastAsia="Montserrat" w:hAnsi="Montserrat"/>
          <w:color w:val="58595B"/>
          <w:sz w:val="18"/>
          <w:szCs w:val="18"/>
        </w:rPr>
        <w:t xml:space="preserve">Deux choix consolident cette position. L'accessibilité conçue en amont plutôt qu'adaptée en aval, d'abord : reprendre un contenu après coup produit presque toujours un second support, distribué à part, donc stigmatisant. La cohérence entre le propos et l'objet, ensuite : un jeu léger, sans collecte de données, incarne la sobriété numérique qu'il enseigne.</w:t>
      </w: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LES PREUVES DISPONIBLES</w:t>
      </w:r>
    </w:p>
    <w:tbl>
      <w:tblPr>
        <w:tblW w:type="dxa" w:w="9406"/>
        <w:tblBorders>
          <w:top w:val="none" w:color="auto" w:sz="0"/>
          <w:left w:val="none" w:color="auto" w:sz="0"/>
          <w:bottom w:val="none" w:color="auto" w:sz="0"/>
          <w:right w:val="none" w:color="auto" w:sz="0"/>
          <w:insideH w:val="none" w:color="auto" w:sz="0"/>
          <w:insideV w:val="single" w:color="BCBEC0" w:sz="4"/>
        </w:tblBorders>
        <w:tblLayout w:type="fixed"/>
      </w:tblPr>
      <w:tblGrid>
        <w:gridCol w:w="3135"/>
        <w:gridCol w:w="3135"/>
        <w:gridCol w:w="3136"/>
      </w:tblGrid>
      <w:tr>
        <w:trPr>
          <w:cantSplit/>
        </w:trPr>
        <w:tc>
          <w:tcPr>
            <w:tcW w:type="dxa" w:w="3135"/>
            <w:tcBorders>
              <w:top w:val="none" w:color="auto" w:sz="0"/>
              <w:left w:val="none" w:color="auto" w:sz="0"/>
              <w:bottom w:val="none" w:color="auto" w:sz="0"/>
              <w:right w:val="none" w:color="auto" w:sz="0"/>
            </w:tcBorders>
            <w:shd w:fill="E9EDEF" w:color="auto" w:val="clear"/>
            <w:tcMar>
              <w:top w:type="dxa" w:w="260"/>
              <w:left w:type="dxa" w:w="240"/>
              <w:bottom w:type="dxa" w:w="170"/>
              <w:right w:type="dxa" w:w="200"/>
            </w:tcMar>
          </w:tcPr>
          <w:p>
            <w:pPr>
              <w:spacing w:after="40" w:line="240"/>
            </w:pPr>
            <w:r>
              <w:rPr>
                <w:rFonts w:ascii="Oswald" w:cs="Oswald" w:eastAsia="Oswald" w:hAnsi="Oswald"/>
                <w:b/>
                <w:bCs/>
                <w:color w:val="173347"/>
                <w:sz w:val="50"/>
                <w:szCs w:val="50"/>
              </w:rPr>
              <w:t xml:space="preserve">21</w:t>
            </w:r>
          </w:p>
          <w:p>
            <w:pPr>
              <w:spacing w:after="0" w:line="252"/>
            </w:pPr>
            <w:r>
              <w:rPr>
                <w:rFonts w:ascii="Montserrat" w:cs="Montserrat" w:eastAsia="Montserrat" w:hAnsi="Montserrat"/>
                <w:b/>
                <w:bCs/>
                <w:color w:val="333635"/>
                <w:spacing w:val="10"/>
                <w:sz w:val="13"/>
                <w:szCs w:val="13"/>
              </w:rPr>
              <w:t xml:space="preserve">ACTEURS RECENSÉS, AUCUNE OFFRE IDENTIFIÉE NE COMBINE LES QUATRE ATTRIBUTS</w:t>
            </w:r>
          </w:p>
        </w:tc>
        <w:tc>
          <w:tcPr>
            <w:tcW w:type="dxa" w:w="3135"/>
            <w:tcBorders>
              <w:top w:val="none" w:color="auto" w:sz="0"/>
              <w:left w:val="single" w:color="BCBEC0" w:sz="4"/>
              <w:bottom w:val="none" w:color="auto" w:sz="0"/>
              <w:right w:val="none" w:color="auto" w:sz="0"/>
            </w:tcBorders>
            <w:shd w:fill="E9EDEF" w:color="auto" w:val="clear"/>
            <w:tcMar>
              <w:top w:type="dxa" w:w="260"/>
              <w:left w:type="dxa" w:w="240"/>
              <w:bottom w:type="dxa" w:w="170"/>
              <w:right w:type="dxa" w:w="200"/>
            </w:tcMar>
          </w:tcPr>
          <w:p>
            <w:pPr>
              <w:spacing w:after="40" w:line="240"/>
            </w:pPr>
            <w:r>
              <w:rPr>
                <w:rFonts w:ascii="Oswald" w:cs="Oswald" w:eastAsia="Oswald" w:hAnsi="Oswald"/>
                <w:b/>
                <w:bCs/>
                <w:color w:val="173347"/>
                <w:sz w:val="50"/>
                <w:szCs w:val="50"/>
              </w:rPr>
              <w:t xml:space="preserve">5 clés</w:t>
            </w:r>
          </w:p>
          <w:p>
            <w:pPr>
              <w:spacing w:after="0" w:line="252"/>
            </w:pPr>
            <w:r>
              <w:rPr>
                <w:rFonts w:ascii="Montserrat" w:cs="Montserrat" w:eastAsia="Montserrat" w:hAnsi="Montserrat"/>
                <w:b/>
                <w:bCs/>
                <w:color w:val="333635"/>
                <w:spacing w:val="10"/>
                <w:sz w:val="13"/>
                <w:szCs w:val="13"/>
              </w:rPr>
              <w:t xml:space="preserve">DE PÉDAGOGIE ADAPTÉE (MAISON DE L'AUTISME) QUE LE FORMAT ÉPOUSE</w:t>
            </w:r>
          </w:p>
        </w:tc>
        <w:tc>
          <w:tcPr>
            <w:tcW w:type="dxa" w:w="3136"/>
            <w:tcBorders>
              <w:top w:val="none" w:color="auto" w:sz="0"/>
              <w:left w:val="single" w:color="BCBEC0" w:sz="4"/>
              <w:bottom w:val="none" w:color="auto" w:sz="0"/>
              <w:right w:val="none" w:color="auto" w:sz="0"/>
            </w:tcBorders>
            <w:shd w:fill="E9EDEF" w:color="auto" w:val="clear"/>
            <w:tcMar>
              <w:top w:type="dxa" w:w="260"/>
              <w:left w:type="dxa" w:w="240"/>
              <w:bottom w:type="dxa" w:w="170"/>
              <w:right w:type="dxa" w:w="200"/>
            </w:tcMar>
          </w:tcPr>
          <w:p>
            <w:pPr>
              <w:spacing w:after="40" w:line="240"/>
            </w:pPr>
            <w:r>
              <w:rPr>
                <w:rFonts w:ascii="Oswald" w:cs="Oswald" w:eastAsia="Oswald" w:hAnsi="Oswald"/>
                <w:b/>
                <w:bCs/>
                <w:color w:val="173347"/>
                <w:sz w:val="50"/>
                <w:szCs w:val="50"/>
              </w:rPr>
              <w:t xml:space="preserve">6 principes</w:t>
            </w:r>
          </w:p>
          <w:p>
            <w:pPr>
              <w:spacing w:after="0" w:line="252"/>
            </w:pPr>
            <w:r>
              <w:rPr>
                <w:rFonts w:ascii="Montserrat" w:cs="Montserrat" w:eastAsia="Montserrat" w:hAnsi="Montserrat"/>
                <w:b/>
                <w:bCs/>
                <w:color w:val="333635"/>
                <w:spacing w:val="10"/>
                <w:sz w:val="13"/>
                <w:szCs w:val="13"/>
              </w:rPr>
              <w:t xml:space="preserve">DE CONCEPTION DES VISUAL NOVELS ÉDUCATIFS</w:t>
            </w:r>
          </w:p>
        </w:tc>
      </w:tr>
    </w:tbl>
    <w:p>
      <w:pPr>
        <w:spacing w:after="160" w:before="0" w:line="240"/>
      </w:pPr>
    </w:p>
    <w:p>
      <w:pPr>
        <w:spacing w:after="140" w:line="288"/>
        <w:jc w:val="both"/>
      </w:pPr>
      <w:r>
        <w:rPr>
          <w:rFonts w:ascii="Montserrat" w:cs="Montserrat" w:eastAsia="Montserrat" w:hAnsi="Montserrat"/>
          <w:color w:val="58595B"/>
          <w:sz w:val="18"/>
          <w:szCs w:val="18"/>
        </w:rPr>
        <w:t xml:space="preserve">Ces preuves sont documentaires. Elles établissent que le positionnement est libre, que le format est cohérent avec les recommandations institutionnelles et que la recherche lui reconnaît un potentiel éducatif. Elles n'établissent pas encore que les </w:t>
      </w:r>
      <w:r>
        <w:rPr>
          <w:rFonts w:ascii="Montserrat" w:cs="Montserrat" w:eastAsia="Montserrat" w:hAnsi="Montserrat"/>
          <w:color w:val="58595B"/>
          <w:sz w:val="18"/>
          <w:szCs w:val="18"/>
        </w:rPr>
        <w:t xml:space="preserve">enseignants ne </w:t>
      </w:r>
      <w:r>
        <w:rPr>
          <w:rFonts w:ascii="Montserrat" w:cs="Montserrat" w:eastAsia="Montserrat" w:hAnsi="Montserrat"/>
          <w:color w:val="58595B"/>
          <w:sz w:val="18"/>
          <w:szCs w:val="18"/>
        </w:rPr>
        <w:t xml:space="preserve">l’adopteront</w:t>
      </w:r>
      <w:r>
        <w:rPr>
          <w:rFonts w:ascii="Montserrat" w:cs="Montserrat" w:eastAsia="Montserrat" w:hAnsi="Montserrat"/>
          <w:color w:val="58595B"/>
          <w:sz w:val="18"/>
          <w:szCs w:val="18"/>
        </w:rPr>
        <w:t xml:space="preserve"> ni</w:t>
      </w:r>
      <w:r>
        <w:rPr>
          <w:rFonts w:ascii="Montserrat" w:cs="Montserrat" w:eastAsia="Montserrat" w:hAnsi="Montserrat"/>
          <w:color w:val="58595B"/>
          <w:sz w:val="18"/>
          <w:szCs w:val="18"/>
        </w:rPr>
        <w:t xml:space="preserve"> que les élèves y adhéreront : c'est l'objet de la collecte prévue à l'étape 7 de l'étude de marché.</w:t>
      </w:r>
    </w:p>
    <w:p>
      <w:pPr>
        <w:pStyle w:val="Heading2"/>
        <w:keepNext/>
        <w:pBdr>
          <w:left w:val="single" w:color="87ADBA" w:sz="24" w:space="8"/>
        </w:pBdr>
        <w:spacing w:after="110" w:before="280"/>
        <w:ind w:left="170"/>
      </w:pPr>
      <w:r>
        <w:rPr>
          <w:rFonts w:ascii="Montserrat" w:cs="Montserrat" w:eastAsia="Montserrat" w:hAnsi="Montserrat"/>
          <w:b/>
          <w:bCs/>
          <w:color w:val="333635"/>
          <w:spacing w:val="10"/>
          <w:sz w:val="20"/>
          <w:szCs w:val="20"/>
        </w:rPr>
        <w:t xml:space="preserve">CE QUE LA PROPOSITION NE PROMET PAS</w:t>
      </w:r>
    </w:p>
    <w:p>
      <w:pPr>
        <w:spacing w:after="140" w:line="288"/>
        <w:jc w:val="both"/>
      </w:pPr>
      <w:r>
        <w:rPr>
          <w:rFonts w:ascii="Montserrat" w:cs="Montserrat" w:eastAsia="Montserrat" w:hAnsi="Montserrat"/>
          <w:color w:val="58595B"/>
          <w:sz w:val="18"/>
          <w:szCs w:val="18"/>
        </w:rPr>
        <w:t xml:space="preserve">Le jeu est un support pédagogique de classe, pas une intervention de soin. Il emprunte au jeu son pouvoir d'engagement sans revendiquer d'effet clinique, et il appelle un prolongement hors écran conduit par l'enseignant, conformément au cadre du numérique raisonné. Le prix de 450 à 950 € reste une hypothèse à confronter au consentement à payer des établissements ; ramené à l'élève, il varie de 3,20 à 9 € selon le nombre de classes inscrites, et l'argument du coût unitaire ne vaut que pour les déploiements larges.</w:t>
      </w:r>
    </w:p>
    <w:p>
      <w:pPr>
        <w:spacing w:after="140" w:line="288"/>
        <w:jc w:val="both"/>
      </w:pPr>
      <w:r>
        <w:rPr>
          <w:rFonts w:ascii="Montserrat" w:cs="Montserrat" w:eastAsia="Montserrat" w:hAnsi="Montserrat"/>
          <w:color w:val="58595B"/>
          <w:sz w:val="18"/>
          <w:szCs w:val="18"/>
        </w:rPr>
        <w:t xml:space="preserve">Cette proposition de valeur sera révisée si les entretiens, le questionnaire ou les tests sur prototype contredisent l'un de ses appuis. Une proposition qui ne prévoit pas sa propre révision est une profession de foi, pas un outil de pilotage.</w:t>
      </w:r>
    </w:p>
    <w:sectPr>
      <w:footerReference w:type="default" r:id="rId7"/>
      <w:footerReference w:type="first" r:id="rId8"/>
      <w:pgSz w:w="11906" w:h="16838" w:orient="portrait"/>
      <w:pgMar w:top="1300" w:right="1250" w:bottom="1200" w:left="125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EC0" w:sz="4"/>
      </w:pBdr>
      <w:tabs>
        <w:tab w:val="right" w:pos="9406"/>
      </w:tabs>
      <w:spacing w:before="0"/>
    </w:pPr>
    <w:r>
      <w:rPr>
        <w:rFonts w:ascii="Montserrat" w:cs="Montserrat" w:eastAsia="Montserrat" w:hAnsi="Montserrat"/>
        <w:color w:val="7F7F7F"/>
        <w:spacing w:val="20"/>
        <w:sz w:val="12"/>
        <w:szCs w:val="12"/>
      </w:rPr>
      <w:t xml:space="preserve">PROPOSITION DE VALEUR  ·  LES GARDIENS DU MONDE  ·  MÉGANE MILVILLE</w:t>
    </w:r>
    <w:r>
      <w:rPr>
        <w:rFonts w:ascii="Montserrat" w:cs="Montserrat" w:eastAsia="Montserrat" w:hAnsi="Montserrat"/>
        <w:b/>
        <w:bCs/>
        <w:color w:val="173347"/>
        <w:sz w:val="15"/>
        <w:szCs w:val="15"/>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87ADB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58595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Oswald" w:cs="Oswald" w:eastAsia="Oswald" w:hAnsi="Oswald"/>
      <w:color w:val="173347"/>
      <w:sz w:val="76"/>
      <w:szCs w:val="76"/>
    </w:rPr>
  </w:style>
  <w:style w:type="paragraph" w:styleId="Heading2">
    <w:name w:val="Heading 2"/>
    <w:basedOn w:val="Normal"/>
    <w:next w:val="Normal"/>
    <w:qFormat/>
    <w:pPr>
      <w:outlineLvl w:val="1"/>
    </w:pPr>
    <w:rPr>
      <w:rFonts w:ascii="Montserrat" w:cs="Montserrat" w:eastAsia="Montserrat" w:hAnsi="Montserrat"/>
      <w:b/>
      <w:bCs/>
      <w:color w:val="33363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valeur · Les Gardiens du Monde</dc:title>
  <dc:creator>Mégane Milville</dc:creator>
  <cp:lastModifiedBy>Un-named</cp:lastModifiedBy>
  <cp:revision>1</cp:revision>
  <dcterms:created xsi:type="dcterms:W3CDTF">2026-09-25T08:13:28.115Z</dcterms:created>
  <dcterms:modified xsi:type="dcterms:W3CDTF">2026-09-25T08:13:28.115Z</dcterms:modified>
</cp:coreProperties>
</file>

<file path=docProps/custom.xml><?xml version="1.0" encoding="utf-8"?>
<Properties xmlns="http://schemas.openxmlformats.org/officeDocument/2006/custom-properties" xmlns:vt="http://schemas.openxmlformats.org/officeDocument/2006/docPropsVTypes"/>
</file>