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BRAK  PICH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ប្រាក់​ ពេជ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33330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33330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១៥ មករា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15 January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ភ្នំពេញ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Thom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