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359185">
      <w:pPr>
        <w:spacing w:before="0" w:after="0" w:line="579" w:lineRule="exact"/>
        <w:ind w:firstLine="0"/>
        <w:jc w:val="both"/>
      </w:pPr>
    </w:p>
    <w:p w14:paraId="4763645E">
      <w:pPr>
        <w:keepNext/>
        <w:spacing w:before="0" w:after="0" w:line="579" w:lineRule="exact"/>
        <w:ind w:firstLine="0"/>
        <w:jc w:val="center"/>
      </w:pPr>
      <w:r>
        <w:rPr>
          <w:rFonts w:ascii="STSong" w:hAnsi="STSong" w:eastAsia="STSong"/>
          <w:b w:val="0"/>
          <w:color w:val="000000"/>
          <w:sz w:val="44"/>
        </w:rPr>
        <w:t>阜山龙源光伏电站</w:t>
      </w:r>
    </w:p>
    <w:p w14:paraId="41DAE9B7">
      <w:pPr>
        <w:keepNext/>
        <w:spacing w:before="0" w:after="0" w:line="579" w:lineRule="exact"/>
        <w:ind w:firstLine="0"/>
        <w:jc w:val="center"/>
      </w:pPr>
      <w:r>
        <w:rPr>
          <w:rFonts w:ascii="STSong" w:hAnsi="STSong" w:eastAsia="STSong"/>
          <w:b w:val="0"/>
          <w:color w:val="000000"/>
          <w:sz w:val="44"/>
        </w:rPr>
        <w:t>100MW/400MWh配建储能项目</w:t>
      </w:r>
    </w:p>
    <w:p w14:paraId="6D280BC6">
      <w:pPr>
        <w:keepNext/>
        <w:spacing w:before="0" w:after="0" w:line="579" w:lineRule="exact"/>
        <w:ind w:firstLine="0"/>
        <w:jc w:val="center"/>
      </w:pPr>
      <w:r>
        <w:rPr>
          <w:rFonts w:ascii="STSong" w:hAnsi="STSong" w:eastAsia="STSong"/>
          <w:b w:val="0"/>
          <w:color w:val="000000"/>
          <w:sz w:val="44"/>
        </w:rPr>
        <w:t>投资分析报告</w:t>
      </w:r>
    </w:p>
    <w:p w14:paraId="298727F8">
      <w:pPr>
        <w:spacing w:before="0" w:after="0" w:line="579" w:lineRule="exact"/>
        <w:ind w:firstLine="0"/>
        <w:jc w:val="center"/>
      </w:pPr>
      <w:r>
        <w:rPr>
          <w:rFonts w:ascii="STKaiti" w:hAnsi="STKaiti" w:eastAsia="STKaiti"/>
          <w:b w:val="0"/>
          <w:color w:val="000000"/>
          <w:sz w:val="32"/>
        </w:rPr>
        <w:t>（方案A测算）</w:t>
      </w:r>
    </w:p>
    <w:p w14:paraId="6433440A">
      <w:pPr>
        <w:spacing w:before="0" w:after="0" w:line="579" w:lineRule="exact"/>
        <w:ind w:firstLine="0"/>
        <w:jc w:val="center"/>
      </w:pPr>
      <w:r>
        <w:rPr>
          <w:rFonts w:ascii="STFangsong" w:hAnsi="STFangsong" w:eastAsia="STFangsong"/>
          <w:b w:val="0"/>
          <w:color w:val="000000"/>
          <w:sz w:val="32"/>
        </w:rPr>
        <w:t>2026年9月14日</w:t>
      </w:r>
    </w:p>
    <w:p w14:paraId="6C313B9C">
      <w:pPr>
        <w:pStyle w:val="3"/>
        <w:jc w:val="both"/>
      </w:pPr>
    </w:p>
    <w:p w14:paraId="5556FD13">
      <w:pPr>
        <w:pStyle w:val="3"/>
        <w:jc w:val="both"/>
        <w:rPr>
          <w:rFonts w:hint="eastAsia" w:ascii="黑体" w:hAnsi="黑体" w:eastAsia="黑体" w:cs="黑体"/>
        </w:rPr>
      </w:pPr>
      <w:r>
        <w:rPr>
          <w:rFonts w:hint="eastAsia" w:ascii="黑体" w:hAnsi="黑体" w:eastAsia="黑体" w:cs="黑体"/>
        </w:rPr>
        <w:t>一、报告摘要</w:t>
      </w:r>
    </w:p>
    <w:tbl>
      <w:tblPr>
        <w:tblStyle w:val="33"/>
        <w:tblW w:w="87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3112"/>
        <w:gridCol w:w="4059"/>
      </w:tblGrid>
      <w:tr w14:paraId="5480D180">
        <w:trPr>
          <w:trHeight w:val="0" w:hRule="atLeast"/>
          <w:tblHeader/>
          <w:jc w:val="center"/>
        </w:trPr>
        <w:tc>
          <w:tcPr>
            <w:tcW w:w="1559" w:type="dxa"/>
            <w:tcMar>
              <w:top w:w="70" w:type="dxa"/>
              <w:left w:w="80" w:type="dxa"/>
              <w:bottom w:w="70" w:type="dxa"/>
              <w:right w:w="80" w:type="dxa"/>
            </w:tcMar>
            <w:vAlign w:val="center"/>
          </w:tcPr>
          <w:p w14:paraId="66214CF5">
            <w:pPr>
              <w:snapToGrid w:val="0"/>
              <w:spacing w:before="0" w:after="0" w:line="240" w:lineRule="auto"/>
              <w:ind w:left="0" w:leftChars="0" w:right="0" w:rightChars="0" w:firstLine="0" w:firstLineChars="0"/>
              <w:jc w:val="center"/>
              <w:rPr>
                <w:rFonts w:ascii="Heiti SC" w:eastAsia="Heiti SC"/>
                <w:b/>
                <w:sz w:val="23"/>
              </w:rPr>
            </w:pPr>
            <w:r>
              <w:rPr>
                <w:rFonts w:ascii="Heiti SC" w:hAnsi="Heiti SC" w:eastAsia="Heiti SC"/>
                <w:b/>
                <w:color w:val="000000"/>
                <w:sz w:val="23"/>
              </w:rPr>
              <w:t>核心指标</w:t>
            </w:r>
          </w:p>
        </w:tc>
        <w:tc>
          <w:tcPr>
            <w:tcW w:w="0" w:type="auto"/>
            <w:tcMar>
              <w:top w:w="70" w:type="dxa"/>
              <w:left w:w="80" w:type="dxa"/>
              <w:bottom w:w="70" w:type="dxa"/>
              <w:right w:w="80" w:type="dxa"/>
            </w:tcMar>
            <w:vAlign w:val="center"/>
          </w:tcPr>
          <w:p w14:paraId="7943B9E4">
            <w:pPr>
              <w:snapToGrid w:val="0"/>
              <w:spacing w:before="0" w:after="0" w:line="240" w:lineRule="auto"/>
              <w:ind w:left="0" w:leftChars="0" w:right="0" w:rightChars="0" w:firstLine="0" w:firstLineChars="0"/>
              <w:jc w:val="center"/>
              <w:rPr>
                <w:rFonts w:ascii="Heiti SC" w:eastAsia="Heiti SC"/>
                <w:b/>
                <w:sz w:val="23"/>
              </w:rPr>
            </w:pPr>
            <w:r>
              <w:rPr>
                <w:rFonts w:ascii="Heiti SC" w:hAnsi="Heiti SC" w:eastAsia="Heiti SC"/>
                <w:b/>
                <w:color w:val="000000"/>
                <w:sz w:val="23"/>
              </w:rPr>
              <w:t>测算结果</w:t>
            </w:r>
          </w:p>
        </w:tc>
        <w:tc>
          <w:tcPr>
            <w:tcW w:w="4059" w:type="dxa"/>
            <w:tcMar>
              <w:top w:w="70" w:type="dxa"/>
              <w:left w:w="80" w:type="dxa"/>
              <w:bottom w:w="70" w:type="dxa"/>
              <w:right w:w="80" w:type="dxa"/>
            </w:tcMar>
            <w:vAlign w:val="center"/>
          </w:tcPr>
          <w:p w14:paraId="08A69E4D">
            <w:pPr>
              <w:snapToGrid w:val="0"/>
              <w:spacing w:before="0" w:after="0" w:line="240" w:lineRule="auto"/>
              <w:ind w:left="0" w:leftChars="0" w:right="0" w:rightChars="0" w:firstLine="0" w:firstLineChars="0"/>
              <w:jc w:val="center"/>
              <w:rPr>
                <w:rFonts w:ascii="Heiti SC" w:eastAsia="Heiti SC"/>
                <w:b/>
                <w:sz w:val="23"/>
              </w:rPr>
            </w:pPr>
            <w:r>
              <w:rPr>
                <w:rFonts w:ascii="Heiti SC" w:hAnsi="Heiti SC" w:eastAsia="Heiti SC"/>
                <w:b/>
                <w:color w:val="000000"/>
                <w:sz w:val="23"/>
              </w:rPr>
              <w:t>说明</w:t>
            </w:r>
          </w:p>
        </w:tc>
      </w:tr>
      <w:tr w14:paraId="0A6257AA">
        <w:trPr>
          <w:trHeight w:val="0" w:hRule="atLeast"/>
          <w:jc w:val="center"/>
        </w:trPr>
        <w:tc>
          <w:tcPr>
            <w:tcW w:w="1559" w:type="dxa"/>
            <w:tcMar>
              <w:top w:w="70" w:type="dxa"/>
              <w:left w:w="80" w:type="dxa"/>
              <w:bottom w:w="70" w:type="dxa"/>
              <w:right w:w="80" w:type="dxa"/>
            </w:tcMar>
            <w:vAlign w:val="center"/>
          </w:tcPr>
          <w:p w14:paraId="78D137F9">
            <w:pPr>
              <w:snapToGrid w:val="0"/>
              <w:spacing w:before="0" w:after="0" w:line="240" w:lineRule="auto"/>
              <w:ind w:left="0" w:leftChars="0" w:right="0" w:rightChars="0" w:firstLine="0" w:firstLineChars="0"/>
              <w:jc w:val="center"/>
              <w:rPr>
                <w:rFonts w:ascii="STFangsong" w:eastAsia="STFangsong"/>
                <w:sz w:val="23"/>
              </w:rPr>
            </w:pPr>
            <w:r>
              <w:rPr>
                <w:rFonts w:ascii="STFangsong" w:hAnsi="STFangsong" w:eastAsia="STFangsong"/>
                <w:b w:val="0"/>
                <w:color w:val="000000"/>
                <w:sz w:val="23"/>
              </w:rPr>
              <w:t>初始总投资</w:t>
            </w:r>
          </w:p>
        </w:tc>
        <w:tc>
          <w:tcPr>
            <w:tcW w:w="0" w:type="auto"/>
            <w:tcMar>
              <w:top w:w="70" w:type="dxa"/>
              <w:left w:w="80" w:type="dxa"/>
              <w:bottom w:w="70" w:type="dxa"/>
              <w:right w:w="80" w:type="dxa"/>
            </w:tcMar>
            <w:vAlign w:val="center"/>
          </w:tcPr>
          <w:p w14:paraId="1F49C865">
            <w:pPr>
              <w:snapToGrid w:val="0"/>
              <w:spacing w:before="0" w:after="0" w:line="240" w:lineRule="auto"/>
              <w:ind w:left="0" w:leftChars="0" w:right="0" w:rightChars="0" w:firstLine="0" w:firstLineChars="0"/>
              <w:jc w:val="both"/>
              <w:rPr>
                <w:rFonts w:ascii="STFangsong" w:eastAsia="STFangsong"/>
                <w:sz w:val="23"/>
              </w:rPr>
            </w:pPr>
            <w:r>
              <w:rPr>
                <w:rFonts w:ascii="STFangsong" w:hAnsi="STFangsong" w:eastAsia="STFangsong"/>
                <w:b w:val="0"/>
                <w:color w:val="000000"/>
                <w:sz w:val="23"/>
              </w:rPr>
              <w:t>26,100.0万元</w:t>
            </w:r>
          </w:p>
        </w:tc>
        <w:tc>
          <w:tcPr>
            <w:tcW w:w="4059" w:type="dxa"/>
            <w:tcMar>
              <w:top w:w="70" w:type="dxa"/>
              <w:left w:w="80" w:type="dxa"/>
              <w:bottom w:w="70" w:type="dxa"/>
              <w:right w:w="80" w:type="dxa"/>
            </w:tcMar>
            <w:vAlign w:val="center"/>
          </w:tcPr>
          <w:p w14:paraId="0B2CD31E">
            <w:pPr>
              <w:snapToGrid w:val="0"/>
              <w:spacing w:before="0" w:after="0" w:line="240" w:lineRule="auto"/>
              <w:ind w:left="0" w:leftChars="0" w:right="0" w:rightChars="0" w:firstLine="0" w:firstLineChars="0"/>
              <w:jc w:val="both"/>
              <w:rPr>
                <w:rFonts w:ascii="STFangsong" w:eastAsia="STFangsong"/>
                <w:sz w:val="23"/>
              </w:rPr>
            </w:pPr>
            <w:r>
              <w:rPr>
                <w:rFonts w:ascii="STFangsong" w:hAnsi="STFangsong" w:eastAsia="STFangsong"/>
                <w:b w:val="0"/>
                <w:color w:val="000000"/>
                <w:sz w:val="23"/>
              </w:rPr>
              <w:t>资本金7,830.0万元，贷款18,270.0万元</w:t>
            </w:r>
          </w:p>
        </w:tc>
      </w:tr>
      <w:tr w14:paraId="122986B3">
        <w:trPr>
          <w:trHeight w:val="0" w:hRule="atLeast"/>
          <w:jc w:val="center"/>
        </w:trPr>
        <w:tc>
          <w:tcPr>
            <w:tcW w:w="1559" w:type="dxa"/>
            <w:tcMar>
              <w:top w:w="70" w:type="dxa"/>
              <w:left w:w="80" w:type="dxa"/>
              <w:bottom w:w="70" w:type="dxa"/>
              <w:right w:w="80" w:type="dxa"/>
            </w:tcMar>
            <w:vAlign w:val="center"/>
          </w:tcPr>
          <w:p w14:paraId="2E0CC96B">
            <w:pPr>
              <w:snapToGrid w:val="0"/>
              <w:spacing w:before="0" w:after="0" w:line="240" w:lineRule="auto"/>
              <w:ind w:left="0" w:leftChars="0" w:right="0" w:rightChars="0" w:firstLine="0" w:firstLineChars="0"/>
              <w:jc w:val="center"/>
              <w:rPr>
                <w:rFonts w:ascii="STFangsong" w:eastAsia="STFangsong"/>
                <w:sz w:val="23"/>
              </w:rPr>
            </w:pPr>
            <w:r>
              <w:rPr>
                <w:rFonts w:ascii="STFangsong" w:hAnsi="STFangsong" w:eastAsia="STFangsong"/>
                <w:b w:val="0"/>
                <w:color w:val="000000"/>
                <w:sz w:val="23"/>
              </w:rPr>
              <w:t>首年总收入</w:t>
            </w:r>
          </w:p>
        </w:tc>
        <w:tc>
          <w:tcPr>
            <w:tcW w:w="0" w:type="auto"/>
            <w:tcMar>
              <w:top w:w="70" w:type="dxa"/>
              <w:left w:w="80" w:type="dxa"/>
              <w:bottom w:w="70" w:type="dxa"/>
              <w:right w:w="80" w:type="dxa"/>
            </w:tcMar>
            <w:vAlign w:val="center"/>
          </w:tcPr>
          <w:p w14:paraId="72D3F7E6">
            <w:pPr>
              <w:snapToGrid w:val="0"/>
              <w:spacing w:before="0" w:after="0" w:line="240" w:lineRule="auto"/>
              <w:ind w:left="0" w:leftChars="0" w:right="0" w:rightChars="0" w:firstLine="0" w:firstLineChars="0"/>
              <w:jc w:val="both"/>
              <w:rPr>
                <w:rFonts w:ascii="STFangsong" w:eastAsia="STFangsong"/>
                <w:sz w:val="23"/>
              </w:rPr>
            </w:pPr>
            <w:r>
              <w:rPr>
                <w:rFonts w:ascii="STFangsong" w:hAnsi="STFangsong" w:eastAsia="STFangsong"/>
                <w:b w:val="0"/>
                <w:color w:val="000000"/>
                <w:sz w:val="23"/>
              </w:rPr>
              <w:t>4,057.3万元</w:t>
            </w:r>
          </w:p>
        </w:tc>
        <w:tc>
          <w:tcPr>
            <w:tcW w:w="4059" w:type="dxa"/>
            <w:tcMar>
              <w:top w:w="70" w:type="dxa"/>
              <w:left w:w="80" w:type="dxa"/>
              <w:bottom w:w="70" w:type="dxa"/>
              <w:right w:w="80" w:type="dxa"/>
            </w:tcMar>
            <w:vAlign w:val="center"/>
          </w:tcPr>
          <w:p w14:paraId="54795B22">
            <w:pPr>
              <w:snapToGrid w:val="0"/>
              <w:spacing w:before="0" w:after="0" w:line="240" w:lineRule="auto"/>
              <w:ind w:left="0" w:leftChars="0" w:right="0" w:rightChars="0" w:firstLine="0" w:firstLineChars="0"/>
              <w:jc w:val="both"/>
              <w:rPr>
                <w:rFonts w:ascii="STFangsong" w:eastAsia="STFangsong"/>
                <w:sz w:val="23"/>
              </w:rPr>
            </w:pPr>
            <w:r>
              <w:rPr>
                <w:rFonts w:ascii="STFangsong" w:hAnsi="STFangsong" w:eastAsia="STFangsong"/>
                <w:b w:val="0"/>
                <w:color w:val="000000"/>
                <w:sz w:val="23"/>
              </w:rPr>
              <w:t>经营净收益3,721.9万元，容量补偿335.4万元</w:t>
            </w:r>
          </w:p>
        </w:tc>
      </w:tr>
      <w:tr w14:paraId="45BC8C32">
        <w:trPr>
          <w:trHeight w:val="0" w:hRule="atLeast"/>
          <w:jc w:val="center"/>
        </w:trPr>
        <w:tc>
          <w:tcPr>
            <w:tcW w:w="1559" w:type="dxa"/>
            <w:tcMar>
              <w:top w:w="70" w:type="dxa"/>
              <w:left w:w="80" w:type="dxa"/>
              <w:bottom w:w="70" w:type="dxa"/>
              <w:right w:w="80" w:type="dxa"/>
            </w:tcMar>
            <w:vAlign w:val="center"/>
          </w:tcPr>
          <w:p w14:paraId="341168A8">
            <w:pPr>
              <w:snapToGrid w:val="0"/>
              <w:spacing w:before="0" w:after="0" w:line="240" w:lineRule="auto"/>
              <w:ind w:left="0" w:leftChars="0" w:right="0" w:rightChars="0" w:firstLine="0" w:firstLineChars="0"/>
              <w:jc w:val="center"/>
              <w:rPr>
                <w:rFonts w:ascii="STFangsong" w:eastAsia="STFangsong"/>
                <w:sz w:val="23"/>
              </w:rPr>
            </w:pPr>
            <w:r>
              <w:rPr>
                <w:rFonts w:ascii="STFangsong" w:hAnsi="STFangsong" w:eastAsia="STFangsong"/>
                <w:b w:val="0"/>
                <w:color w:val="000000"/>
                <w:sz w:val="23"/>
              </w:rPr>
              <w:t>全投资评价</w:t>
            </w:r>
          </w:p>
        </w:tc>
        <w:tc>
          <w:tcPr>
            <w:tcW w:w="0" w:type="auto"/>
            <w:tcMar>
              <w:top w:w="70" w:type="dxa"/>
              <w:left w:w="80" w:type="dxa"/>
              <w:bottom w:w="70" w:type="dxa"/>
              <w:right w:w="80" w:type="dxa"/>
            </w:tcMar>
            <w:vAlign w:val="center"/>
          </w:tcPr>
          <w:p w14:paraId="3875834E">
            <w:pPr>
              <w:snapToGrid w:val="0"/>
              <w:spacing w:before="0" w:after="0" w:line="240" w:lineRule="auto"/>
              <w:ind w:left="0" w:leftChars="0" w:right="0" w:rightChars="0" w:firstLine="0" w:firstLineChars="0"/>
              <w:jc w:val="both"/>
              <w:rPr>
                <w:rFonts w:ascii="STFangsong" w:eastAsia="STFangsong"/>
                <w:sz w:val="23"/>
              </w:rPr>
            </w:pPr>
            <w:r>
              <w:rPr>
                <w:rFonts w:ascii="STFangsong" w:hAnsi="STFangsong" w:eastAsia="STFangsong"/>
                <w:b w:val="0"/>
                <w:color w:val="000000"/>
                <w:sz w:val="23"/>
              </w:rPr>
              <w:t>NPV 3,521.0万元；IRR 5.58%</w:t>
            </w:r>
          </w:p>
        </w:tc>
        <w:tc>
          <w:tcPr>
            <w:tcW w:w="4059" w:type="dxa"/>
            <w:tcMar>
              <w:top w:w="70" w:type="dxa"/>
              <w:left w:w="80" w:type="dxa"/>
              <w:bottom w:w="70" w:type="dxa"/>
              <w:right w:w="80" w:type="dxa"/>
            </w:tcMar>
            <w:vAlign w:val="center"/>
          </w:tcPr>
          <w:p w14:paraId="0D2171B1">
            <w:pPr>
              <w:snapToGrid w:val="0"/>
              <w:spacing w:before="0" w:after="0" w:line="240" w:lineRule="auto"/>
              <w:ind w:left="0" w:leftChars="0" w:right="0" w:rightChars="0" w:firstLine="0" w:firstLineChars="0"/>
              <w:jc w:val="both"/>
              <w:rPr>
                <w:rFonts w:ascii="STFangsong" w:eastAsia="STFangsong"/>
                <w:sz w:val="23"/>
              </w:rPr>
            </w:pPr>
            <w:r>
              <w:rPr>
                <w:rFonts w:ascii="STFangsong" w:hAnsi="STFangsong" w:eastAsia="STFangsong"/>
                <w:b w:val="0"/>
                <w:color w:val="000000"/>
                <w:sz w:val="23"/>
              </w:rPr>
              <w:t>测算折现率3.98%</w:t>
            </w:r>
          </w:p>
        </w:tc>
      </w:tr>
      <w:tr w14:paraId="3C8C1337">
        <w:trPr>
          <w:trHeight w:val="0" w:hRule="atLeast"/>
          <w:jc w:val="center"/>
        </w:trPr>
        <w:tc>
          <w:tcPr>
            <w:tcW w:w="1559" w:type="dxa"/>
            <w:tcMar>
              <w:top w:w="70" w:type="dxa"/>
              <w:left w:w="80" w:type="dxa"/>
              <w:bottom w:w="70" w:type="dxa"/>
              <w:right w:w="80" w:type="dxa"/>
            </w:tcMar>
            <w:vAlign w:val="center"/>
          </w:tcPr>
          <w:p w14:paraId="3484E63B">
            <w:pPr>
              <w:snapToGrid w:val="0"/>
              <w:spacing w:before="0" w:after="0" w:line="240" w:lineRule="auto"/>
              <w:ind w:left="0" w:leftChars="0" w:right="0" w:rightChars="0" w:firstLine="0" w:firstLineChars="0"/>
              <w:jc w:val="center"/>
              <w:rPr>
                <w:rFonts w:ascii="STFangsong" w:eastAsia="STFangsong"/>
                <w:sz w:val="23"/>
              </w:rPr>
            </w:pPr>
            <w:r>
              <w:rPr>
                <w:rFonts w:ascii="STFangsong" w:hAnsi="STFangsong" w:eastAsia="STFangsong"/>
                <w:b w:val="0"/>
                <w:color w:val="000000"/>
                <w:sz w:val="23"/>
              </w:rPr>
              <w:t>资本金评价</w:t>
            </w:r>
          </w:p>
        </w:tc>
        <w:tc>
          <w:tcPr>
            <w:tcW w:w="0" w:type="auto"/>
            <w:tcMar>
              <w:top w:w="70" w:type="dxa"/>
              <w:left w:w="80" w:type="dxa"/>
              <w:bottom w:w="70" w:type="dxa"/>
              <w:right w:w="80" w:type="dxa"/>
            </w:tcMar>
            <w:vAlign w:val="center"/>
          </w:tcPr>
          <w:p w14:paraId="77D4F487">
            <w:pPr>
              <w:snapToGrid w:val="0"/>
              <w:spacing w:before="0" w:after="0" w:line="240" w:lineRule="auto"/>
              <w:ind w:left="0" w:leftChars="0" w:right="0" w:rightChars="0" w:firstLine="0" w:firstLineChars="0"/>
              <w:jc w:val="both"/>
              <w:rPr>
                <w:rFonts w:ascii="STFangsong" w:eastAsia="STFangsong"/>
                <w:sz w:val="23"/>
              </w:rPr>
            </w:pPr>
            <w:r>
              <w:rPr>
                <w:rFonts w:ascii="STFangsong" w:hAnsi="STFangsong" w:eastAsia="STFangsong"/>
                <w:b w:val="0"/>
                <w:color w:val="000000"/>
                <w:sz w:val="23"/>
              </w:rPr>
              <w:t>NPV 3,106.5万元；IRR 15.80%</w:t>
            </w:r>
          </w:p>
        </w:tc>
        <w:tc>
          <w:tcPr>
            <w:tcW w:w="4059" w:type="dxa"/>
            <w:tcMar>
              <w:top w:w="70" w:type="dxa"/>
              <w:left w:w="80" w:type="dxa"/>
              <w:bottom w:w="70" w:type="dxa"/>
              <w:right w:w="80" w:type="dxa"/>
            </w:tcMar>
            <w:vAlign w:val="center"/>
          </w:tcPr>
          <w:p w14:paraId="70451CF5">
            <w:pPr>
              <w:snapToGrid w:val="0"/>
              <w:spacing w:before="0" w:after="0" w:line="240" w:lineRule="auto"/>
              <w:ind w:left="0" w:leftChars="0" w:right="0" w:rightChars="0" w:firstLine="0" w:firstLineChars="0"/>
              <w:jc w:val="both"/>
              <w:rPr>
                <w:rFonts w:ascii="STFangsong" w:eastAsia="STFangsong"/>
                <w:sz w:val="23"/>
              </w:rPr>
            </w:pPr>
            <w:r>
              <w:rPr>
                <w:rFonts w:ascii="STFangsong" w:hAnsi="STFangsong" w:eastAsia="STFangsong"/>
                <w:b w:val="0"/>
                <w:color w:val="000000"/>
                <w:sz w:val="23"/>
              </w:rPr>
              <w:t>测算折现率8.00%</w:t>
            </w:r>
          </w:p>
        </w:tc>
      </w:tr>
      <w:tr w14:paraId="34AB5E7B">
        <w:trPr>
          <w:trHeight w:val="0" w:hRule="atLeast"/>
          <w:jc w:val="center"/>
        </w:trPr>
        <w:tc>
          <w:tcPr>
            <w:tcW w:w="1559" w:type="dxa"/>
            <w:tcMar>
              <w:top w:w="70" w:type="dxa"/>
              <w:left w:w="80" w:type="dxa"/>
              <w:bottom w:w="70" w:type="dxa"/>
              <w:right w:w="80" w:type="dxa"/>
            </w:tcMar>
            <w:vAlign w:val="center"/>
          </w:tcPr>
          <w:p w14:paraId="5F60B9CC">
            <w:pPr>
              <w:snapToGrid w:val="0"/>
              <w:spacing w:before="0" w:after="0" w:line="240" w:lineRule="auto"/>
              <w:ind w:left="0" w:leftChars="0" w:right="0" w:rightChars="0" w:firstLine="0" w:firstLineChars="0"/>
              <w:jc w:val="center"/>
              <w:rPr>
                <w:rFonts w:ascii="STFangsong" w:eastAsia="STFangsong"/>
                <w:sz w:val="23"/>
              </w:rPr>
            </w:pPr>
            <w:r>
              <w:rPr>
                <w:rFonts w:ascii="STFangsong" w:hAnsi="STFangsong" w:eastAsia="STFangsong"/>
                <w:b w:val="0"/>
                <w:color w:val="000000"/>
                <w:sz w:val="23"/>
              </w:rPr>
              <w:t>静态回收期</w:t>
            </w:r>
          </w:p>
        </w:tc>
        <w:tc>
          <w:tcPr>
            <w:tcW w:w="3112" w:type="dxa"/>
            <w:tcMar>
              <w:top w:w="70" w:type="dxa"/>
              <w:left w:w="80" w:type="dxa"/>
              <w:bottom w:w="70" w:type="dxa"/>
              <w:right w:w="80" w:type="dxa"/>
            </w:tcMar>
            <w:vAlign w:val="center"/>
          </w:tcPr>
          <w:p w14:paraId="60C0FCBC">
            <w:pPr>
              <w:snapToGrid w:val="0"/>
              <w:spacing w:before="0" w:after="0" w:line="240" w:lineRule="auto"/>
              <w:ind w:left="0" w:leftChars="0" w:right="0" w:rightChars="0" w:firstLine="0" w:firstLineChars="0"/>
              <w:jc w:val="both"/>
              <w:rPr>
                <w:rFonts w:ascii="STFangsong" w:eastAsia="STFangsong"/>
                <w:sz w:val="23"/>
              </w:rPr>
            </w:pPr>
            <w:r>
              <w:rPr>
                <w:rFonts w:ascii="STFangsong" w:hAnsi="STFangsong" w:eastAsia="STFangsong"/>
                <w:b w:val="0"/>
                <w:color w:val="000000"/>
                <w:sz w:val="23"/>
              </w:rPr>
              <w:t>全投资8.14年；资本金4.07年</w:t>
            </w:r>
          </w:p>
        </w:tc>
        <w:tc>
          <w:tcPr>
            <w:tcW w:w="4059" w:type="dxa"/>
            <w:tcMar>
              <w:top w:w="70" w:type="dxa"/>
              <w:left w:w="80" w:type="dxa"/>
              <w:bottom w:w="70" w:type="dxa"/>
              <w:right w:w="80" w:type="dxa"/>
            </w:tcMar>
            <w:vAlign w:val="center"/>
          </w:tcPr>
          <w:p w14:paraId="3E11E605">
            <w:pPr>
              <w:snapToGrid w:val="0"/>
              <w:spacing w:before="0" w:after="0" w:line="240" w:lineRule="auto"/>
              <w:ind w:left="0" w:leftChars="0" w:right="0" w:rightChars="0" w:firstLine="0" w:firstLineChars="0"/>
              <w:jc w:val="both"/>
              <w:rPr>
                <w:rFonts w:ascii="STFangsong" w:eastAsia="STFangsong"/>
                <w:sz w:val="23"/>
              </w:rPr>
            </w:pPr>
            <w:r>
              <w:rPr>
                <w:rFonts w:ascii="STFangsong" w:hAnsi="STFangsong" w:eastAsia="STFangsong"/>
                <w:b w:val="0"/>
                <w:color w:val="000000"/>
                <w:sz w:val="23"/>
              </w:rPr>
              <w:t>按未折现累计净现金流计算</w:t>
            </w:r>
          </w:p>
        </w:tc>
      </w:tr>
    </w:tbl>
    <w:p w14:paraId="44E10608">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当前参数下，全投资NPV和资本金NPV均为正；全投资IRR为5.58%，资本金IRR为15.80%。资本金回报高于全投资回报，主要与70%债务融资和3%贷款利率有关。全投资IRR较3.98%折现率高1.60个百分点，敏感性结果显示其数值受初始造价、经营收益和电池衰减影响明显。</w:t>
      </w:r>
    </w:p>
    <w:p w14:paraId="22620D0B">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储能吸纳限电电量17,284.2MWh，建设后限电量按“原限电量减去限电充电量”计算，限电比例由14.89%降至12.24%，下降2.65个百分点。按项目与储能整体上网口径，配储后整体上网电量增加11,242.2MWh，整体上网利用小时增加23.42小时。储能首年增量收入除以配储后项目整体上网电量，等效收益单价提升71.56元/MWh。</w:t>
      </w:r>
    </w:p>
    <w:p w14:paraId="7AA39255">
      <w:pPr>
        <w:pStyle w:val="3"/>
        <w:jc w:val="both"/>
        <w:rPr>
          <w:rFonts w:hint="eastAsia" w:ascii="黑体" w:hAnsi="黑体" w:eastAsia="黑体" w:cs="黑体"/>
        </w:rPr>
      </w:pPr>
      <w:r>
        <w:rPr>
          <w:rFonts w:hint="eastAsia" w:ascii="黑体" w:hAnsi="黑体" w:eastAsia="黑体" w:cs="黑体"/>
        </w:rPr>
        <w:t>二、项目概况与测算范围</w:t>
      </w:r>
    </w:p>
    <w:p w14:paraId="593092CE">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阜山龙源光伏电站装机480MW。本报告测算100MW/400MWh源侧电化学储能在方案A调度规则下的运行、电量、收益和财务结果。</w:t>
      </w:r>
    </w:p>
    <w:tbl>
      <w:tblPr>
        <w:tblStyle w:val="33"/>
        <w:tblW w:w="87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6903"/>
      </w:tblGrid>
      <w:tr w14:paraId="3927F251">
        <w:trPr>
          <w:trHeight w:val="0" w:hRule="atLeast"/>
          <w:tblHeader/>
          <w:jc w:val="center"/>
        </w:trPr>
        <w:tc>
          <w:tcPr>
            <w:tcW w:w="1827" w:type="dxa"/>
            <w:tcMar>
              <w:top w:w="70" w:type="dxa"/>
              <w:left w:w="80" w:type="dxa"/>
              <w:bottom w:w="70" w:type="dxa"/>
              <w:right w:w="80" w:type="dxa"/>
            </w:tcMar>
            <w:vAlign w:val="center"/>
          </w:tcPr>
          <w:p w14:paraId="5A25AF3C">
            <w:pPr>
              <w:snapToGrid w:val="0"/>
              <w:spacing w:before="0" w:after="0" w:line="240" w:lineRule="auto"/>
              <w:ind w:left="0" w:leftChars="0" w:right="0" w:rightChars="0" w:firstLine="0" w:firstLineChars="0"/>
              <w:jc w:val="center"/>
              <w:rPr>
                <w:rFonts w:ascii="Heiti SC" w:eastAsia="Heiti SC"/>
                <w:b/>
                <w:sz w:val="23"/>
              </w:rPr>
            </w:pPr>
            <w:r>
              <w:rPr>
                <w:rFonts w:ascii="Heiti SC" w:hAnsi="Heiti SC" w:eastAsia="Heiti SC"/>
                <w:b/>
                <w:color w:val="000000"/>
                <w:sz w:val="23"/>
              </w:rPr>
              <w:t>项目</w:t>
            </w:r>
          </w:p>
        </w:tc>
        <w:tc>
          <w:tcPr>
            <w:tcW w:w="6903" w:type="dxa"/>
            <w:tcMar>
              <w:top w:w="70" w:type="dxa"/>
              <w:left w:w="80" w:type="dxa"/>
              <w:bottom w:w="70" w:type="dxa"/>
              <w:right w:w="80" w:type="dxa"/>
            </w:tcMar>
            <w:vAlign w:val="center"/>
          </w:tcPr>
          <w:p w14:paraId="661B8C55">
            <w:pPr>
              <w:snapToGrid w:val="0"/>
              <w:spacing w:before="0" w:after="0" w:line="240" w:lineRule="auto"/>
              <w:ind w:left="0" w:leftChars="0" w:right="0" w:rightChars="0" w:firstLine="0" w:firstLineChars="0"/>
              <w:jc w:val="center"/>
              <w:rPr>
                <w:rFonts w:ascii="Heiti SC" w:eastAsia="Heiti SC"/>
                <w:b/>
                <w:sz w:val="23"/>
              </w:rPr>
            </w:pPr>
            <w:r>
              <w:rPr>
                <w:rFonts w:ascii="Heiti SC" w:hAnsi="Heiti SC" w:eastAsia="Heiti SC"/>
                <w:b/>
                <w:color w:val="000000"/>
                <w:sz w:val="23"/>
              </w:rPr>
              <w:t>内容</w:t>
            </w:r>
          </w:p>
        </w:tc>
      </w:tr>
      <w:tr w14:paraId="6974ECEC">
        <w:trPr>
          <w:trHeight w:val="0" w:hRule="atLeast"/>
          <w:jc w:val="center"/>
        </w:trPr>
        <w:tc>
          <w:tcPr>
            <w:tcW w:w="1827" w:type="dxa"/>
            <w:tcMar>
              <w:top w:w="70" w:type="dxa"/>
              <w:left w:w="80" w:type="dxa"/>
              <w:bottom w:w="70" w:type="dxa"/>
              <w:right w:w="80" w:type="dxa"/>
            </w:tcMar>
            <w:vAlign w:val="center"/>
          </w:tcPr>
          <w:p w14:paraId="4FD7DF6A">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数据周期</w:t>
            </w:r>
          </w:p>
        </w:tc>
        <w:tc>
          <w:tcPr>
            <w:tcW w:w="6903" w:type="dxa"/>
            <w:tcMar>
              <w:top w:w="70" w:type="dxa"/>
              <w:left w:w="80" w:type="dxa"/>
              <w:bottom w:w="70" w:type="dxa"/>
              <w:right w:w="80" w:type="dxa"/>
            </w:tcMar>
            <w:vAlign w:val="center"/>
          </w:tcPr>
          <w:p w14:paraId="5CCBA635">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2025-07-30至2026-07-29，15分钟粒度，共35040点</w:t>
            </w:r>
          </w:p>
        </w:tc>
      </w:tr>
      <w:tr w14:paraId="59CDB86C">
        <w:trPr>
          <w:trHeight w:val="0" w:hRule="atLeast"/>
          <w:jc w:val="center"/>
        </w:trPr>
        <w:tc>
          <w:tcPr>
            <w:tcW w:w="1827" w:type="dxa"/>
            <w:tcMar>
              <w:top w:w="70" w:type="dxa"/>
              <w:left w:w="80" w:type="dxa"/>
              <w:bottom w:w="70" w:type="dxa"/>
              <w:right w:w="80" w:type="dxa"/>
            </w:tcMar>
            <w:vAlign w:val="center"/>
          </w:tcPr>
          <w:p w14:paraId="2B043929">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测算储能方案</w:t>
            </w:r>
          </w:p>
        </w:tc>
        <w:tc>
          <w:tcPr>
            <w:tcW w:w="6903" w:type="dxa"/>
            <w:tcMar>
              <w:top w:w="70" w:type="dxa"/>
              <w:left w:w="80" w:type="dxa"/>
              <w:bottom w:w="70" w:type="dxa"/>
              <w:right w:w="80" w:type="dxa"/>
            </w:tcMar>
            <w:vAlign w:val="center"/>
          </w:tcPr>
          <w:p w14:paraId="1CAFD087">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100MW/400MWh，持续时间4小时</w:t>
            </w:r>
          </w:p>
        </w:tc>
      </w:tr>
      <w:tr w14:paraId="306B87FD">
        <w:trPr>
          <w:trHeight w:val="0" w:hRule="atLeast"/>
          <w:jc w:val="center"/>
        </w:trPr>
        <w:tc>
          <w:tcPr>
            <w:tcW w:w="1827" w:type="dxa"/>
            <w:tcMar>
              <w:top w:w="70" w:type="dxa"/>
              <w:left w:w="80" w:type="dxa"/>
              <w:bottom w:w="70" w:type="dxa"/>
              <w:right w:w="80" w:type="dxa"/>
            </w:tcMar>
            <w:vAlign w:val="center"/>
          </w:tcPr>
          <w:p w14:paraId="2E8EABD1">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评价期</w:t>
            </w:r>
          </w:p>
        </w:tc>
        <w:tc>
          <w:tcPr>
            <w:tcW w:w="6903" w:type="dxa"/>
            <w:tcMar>
              <w:top w:w="70" w:type="dxa"/>
              <w:left w:w="80" w:type="dxa"/>
              <w:bottom w:w="70" w:type="dxa"/>
              <w:right w:w="80" w:type="dxa"/>
            </w:tcMar>
            <w:vAlign w:val="center"/>
          </w:tcPr>
          <w:p w14:paraId="094C79F6">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20年；电池年衰减2%；第10年更换电池</w:t>
            </w:r>
          </w:p>
        </w:tc>
      </w:tr>
      <w:tr w14:paraId="43A0BD53">
        <w:trPr>
          <w:trHeight w:val="0" w:hRule="atLeast"/>
          <w:jc w:val="center"/>
        </w:trPr>
        <w:tc>
          <w:tcPr>
            <w:tcW w:w="1827" w:type="dxa"/>
            <w:tcMar>
              <w:top w:w="70" w:type="dxa"/>
              <w:left w:w="80" w:type="dxa"/>
              <w:bottom w:w="70" w:type="dxa"/>
              <w:right w:w="80" w:type="dxa"/>
            </w:tcMar>
            <w:vAlign w:val="center"/>
          </w:tcPr>
          <w:p w14:paraId="15F77698">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调度口径</w:t>
            </w:r>
          </w:p>
        </w:tc>
        <w:tc>
          <w:tcPr>
            <w:tcW w:w="6903" w:type="dxa"/>
            <w:tcMar>
              <w:top w:w="70" w:type="dxa"/>
              <w:left w:w="80" w:type="dxa"/>
              <w:bottom w:w="70" w:type="dxa"/>
              <w:right w:w="80" w:type="dxa"/>
            </w:tcMar>
            <w:vAlign w:val="center"/>
          </w:tcPr>
          <w:p w14:paraId="58BF31A0">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日前预测形成计划，运行日按实际修正，实时市场电价结算</w:t>
            </w:r>
          </w:p>
        </w:tc>
      </w:tr>
      <w:tr w14:paraId="4AC9D46F">
        <w:trPr>
          <w:trHeight w:val="0" w:hRule="atLeast"/>
          <w:jc w:val="center"/>
        </w:trPr>
        <w:tc>
          <w:tcPr>
            <w:tcW w:w="1827" w:type="dxa"/>
            <w:tcMar>
              <w:top w:w="70" w:type="dxa"/>
              <w:left w:w="80" w:type="dxa"/>
              <w:bottom w:w="70" w:type="dxa"/>
              <w:right w:w="80" w:type="dxa"/>
            </w:tcMar>
            <w:vAlign w:val="center"/>
          </w:tcPr>
          <w:p w14:paraId="6136F1A1">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收益来源</w:t>
            </w:r>
          </w:p>
        </w:tc>
        <w:tc>
          <w:tcPr>
            <w:tcW w:w="6903" w:type="dxa"/>
            <w:tcMar>
              <w:top w:w="70" w:type="dxa"/>
              <w:left w:w="80" w:type="dxa"/>
              <w:bottom w:w="70" w:type="dxa"/>
              <w:right w:w="80" w:type="dxa"/>
            </w:tcMar>
            <w:vAlign w:val="center"/>
          </w:tcPr>
          <w:p w14:paraId="71A64894">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市场套利、抵厂用电、容量补偿及免费电量利用</w:t>
            </w:r>
          </w:p>
        </w:tc>
      </w:tr>
    </w:tbl>
    <w:p w14:paraId="1B19E68B">
      <w:pPr>
        <w:spacing w:before="0" w:after="0" w:line="579" w:lineRule="exact"/>
        <w:ind w:firstLine="640"/>
        <w:jc w:val="both"/>
      </w:pPr>
      <w:r>
        <w:rPr>
          <w:rFonts w:hint="eastAsia" w:ascii="仿宋_GB2312" w:hAnsi="仿宋_GB2312" w:eastAsia="仿宋_GB2312" w:cs="仿宋_GB2312"/>
          <w:b w:val="0"/>
          <w:color w:val="000000"/>
          <w:sz w:val="32"/>
        </w:rPr>
        <w:t>样本覆盖完整连续一年，可反映光伏午间出力、负价时段及晚高峰价差的季节变化。方案A依据日前预测形成计划，再按运行日实际发电能力修正，并使用实时市场电价结算。因此，报告结果属于该调度规则和样本年度下的历史回测值。</w:t>
      </w:r>
    </w:p>
    <w:p w14:paraId="3DC4726F">
      <w:pPr>
        <w:pStyle w:val="3"/>
        <w:jc w:val="both"/>
        <w:rPr>
          <w:rFonts w:hint="eastAsia" w:ascii="黑体" w:hAnsi="黑体" w:eastAsia="黑体" w:cs="黑体"/>
        </w:rPr>
      </w:pPr>
      <w:r>
        <w:rPr>
          <w:rFonts w:hint="eastAsia" w:ascii="黑体" w:hAnsi="黑体" w:eastAsia="黑体" w:cs="黑体"/>
        </w:rPr>
        <w:t>三、技术方案与调度原则</w:t>
      </w:r>
    </w:p>
    <w:p w14:paraId="2600CE2A">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1. 日前根据预测电价和预测发电量形成96点充放电计划；每笔付费充电对应当日后续预测价差不低于120元/MWh的放电机会。</w:t>
      </w:r>
    </w:p>
    <w:p w14:paraId="575B07F9">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2. 预测充电价格不高于250元/MWh；同一15分钟时段禁止同时充电和放电。</w:t>
      </w:r>
    </w:p>
    <w:p w14:paraId="3004022B">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3. 运行日发电能力低于预测时，充电按实际可实现功率执行；后续出现“可用功率－实际发电功率”偏差时，仅免费补足当日充电缺口。</w:t>
      </w:r>
    </w:p>
    <w:p w14:paraId="12C8A0B9">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4. 放电受实际荷电状态、100MW额定功率以及“新能源功率＋储能放电功率不超过480MW”约束。</w:t>
      </w:r>
    </w:p>
    <w:p w14:paraId="62CD9190">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5. 荷电状态运行区间为5%～98%，储能综合效率按93%计算。</w:t>
      </w:r>
    </w:p>
    <w:p w14:paraId="77439226">
      <w:pPr>
        <w:keepNext/>
        <w:spacing w:before="80" w:after="0" w:line="240" w:lineRule="auto"/>
        <w:ind w:left="0" w:leftChars="0" w:firstLine="0" w:firstLineChars="0"/>
        <w:jc w:val="both"/>
      </w:pPr>
      <w:r>
        <w:drawing>
          <wp:inline distT="0" distB="0" distL="114300" distR="114300">
            <wp:extent cx="5626735" cy="3074035"/>
            <wp:effectExtent l="0" t="0" r="12065" b="247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626735" cy="3074035"/>
                    </a:xfrm>
                    <a:prstGeom prst="rect">
                      <a:avLst/>
                    </a:prstGeom>
                  </pic:spPr>
                </pic:pic>
              </a:graphicData>
            </a:graphic>
          </wp:inline>
        </w:drawing>
      </w:r>
    </w:p>
    <w:p w14:paraId="0D67FA9F">
      <w:pPr>
        <w:spacing w:before="0" w:after="80" w:line="440" w:lineRule="exact"/>
        <w:jc w:val="center"/>
        <w:rPr>
          <w:rFonts w:hint="eastAsia" w:ascii="楷体_GB2312" w:hAnsi="楷体_GB2312" w:eastAsia="楷体_GB2312" w:cs="楷体_GB2312"/>
        </w:rPr>
      </w:pPr>
      <w:r>
        <w:rPr>
          <w:rFonts w:hint="eastAsia" w:ascii="楷体_GB2312" w:hAnsi="楷体_GB2312" w:eastAsia="楷体_GB2312" w:cs="楷体_GB2312"/>
          <w:b w:val="0"/>
          <w:color w:val="000000"/>
          <w:sz w:val="28"/>
        </w:rPr>
        <w:t>图3-1  全年96点平均日储能功率与实时市场电价</w:t>
      </w:r>
    </w:p>
    <w:p w14:paraId="4DAF3157">
      <w:pPr>
        <w:pStyle w:val="3"/>
        <w:jc w:val="both"/>
        <w:rPr>
          <w:rFonts w:hint="eastAsia" w:ascii="黑体" w:hAnsi="黑体" w:eastAsia="黑体" w:cs="黑体"/>
        </w:rPr>
      </w:pPr>
      <w:r>
        <w:rPr>
          <w:rFonts w:hint="eastAsia" w:ascii="黑体" w:hAnsi="黑体" w:eastAsia="黑体" w:cs="黑体"/>
        </w:rPr>
        <w:t>四、首年运行与收益测算</w:t>
      </w:r>
    </w:p>
    <w:p w14:paraId="5C3729CD">
      <w:pPr>
        <w:pStyle w:val="4"/>
        <w:jc w:val="both"/>
        <w:rPr>
          <w:rFonts w:hint="eastAsia" w:ascii="楷体_GB2312" w:hAnsi="楷体_GB2312" w:eastAsia="楷体_GB2312" w:cs="楷体_GB2312"/>
          <w:b/>
          <w:bCs w:val="0"/>
        </w:rPr>
      </w:pPr>
      <w:r>
        <w:rPr>
          <w:rFonts w:hint="eastAsia" w:ascii="楷体_GB2312" w:hAnsi="楷体_GB2312" w:eastAsia="楷体_GB2312" w:cs="楷体_GB2312"/>
          <w:b/>
          <w:bCs w:val="0"/>
        </w:rPr>
        <w:t>（一）配储建设前后新能源运行指标</w:t>
      </w:r>
    </w:p>
    <w:tbl>
      <w:tblPr>
        <w:tblStyle w:val="33"/>
        <w:tblW w:w="87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36"/>
        <w:gridCol w:w="1627"/>
        <w:gridCol w:w="1627"/>
        <w:gridCol w:w="1940"/>
      </w:tblGrid>
      <w:tr w14:paraId="4BB789AB">
        <w:trPr>
          <w:trHeight w:val="0" w:hRule="atLeast"/>
          <w:tblHeader/>
          <w:jc w:val="center"/>
        </w:trPr>
        <w:tc>
          <w:tcPr>
            <w:tcW w:w="3536" w:type="dxa"/>
            <w:tcMar>
              <w:top w:w="70" w:type="dxa"/>
              <w:left w:w="80" w:type="dxa"/>
              <w:bottom w:w="70" w:type="dxa"/>
              <w:right w:w="80" w:type="dxa"/>
            </w:tcMar>
            <w:vAlign w:val="center"/>
          </w:tcPr>
          <w:p w14:paraId="43F3507F">
            <w:pPr>
              <w:keepNext/>
              <w:snapToGrid w:val="0"/>
              <w:spacing w:before="0" w:after="0" w:line="240" w:lineRule="auto"/>
              <w:ind w:left="0" w:leftChars="0" w:right="0" w:rightChars="0" w:firstLine="0" w:firstLineChars="0"/>
              <w:jc w:val="center"/>
              <w:rPr>
                <w:rFonts w:ascii="Heiti SC" w:eastAsia="Heiti SC"/>
                <w:b/>
                <w:sz w:val="20"/>
              </w:rPr>
            </w:pPr>
            <w:r>
              <w:rPr>
                <w:rFonts w:ascii="Heiti SC" w:hAnsi="Heiti SC" w:eastAsia="Heiti SC"/>
                <w:b/>
                <w:color w:val="000000"/>
                <w:sz w:val="20"/>
              </w:rPr>
              <w:t>指标</w:t>
            </w:r>
          </w:p>
        </w:tc>
        <w:tc>
          <w:tcPr>
            <w:tcW w:w="1627" w:type="dxa"/>
            <w:tcMar>
              <w:top w:w="70" w:type="dxa"/>
              <w:left w:w="80" w:type="dxa"/>
              <w:bottom w:w="70" w:type="dxa"/>
              <w:right w:w="80" w:type="dxa"/>
            </w:tcMar>
            <w:vAlign w:val="center"/>
          </w:tcPr>
          <w:p w14:paraId="72240C00">
            <w:pPr>
              <w:keepNext/>
              <w:snapToGrid w:val="0"/>
              <w:spacing w:before="0" w:after="0" w:line="240" w:lineRule="auto"/>
              <w:ind w:left="0" w:leftChars="0" w:right="0" w:rightChars="0" w:firstLine="0" w:firstLineChars="0"/>
              <w:jc w:val="center"/>
              <w:rPr>
                <w:rFonts w:ascii="Heiti SC" w:eastAsia="Heiti SC"/>
                <w:b/>
                <w:sz w:val="20"/>
              </w:rPr>
            </w:pPr>
            <w:r>
              <w:rPr>
                <w:rFonts w:ascii="Heiti SC" w:hAnsi="Heiti SC" w:eastAsia="Heiti SC"/>
                <w:b/>
                <w:color w:val="000000"/>
                <w:sz w:val="20"/>
              </w:rPr>
              <w:t>配储建设前</w:t>
            </w:r>
          </w:p>
        </w:tc>
        <w:tc>
          <w:tcPr>
            <w:tcW w:w="1627" w:type="dxa"/>
            <w:tcMar>
              <w:top w:w="70" w:type="dxa"/>
              <w:left w:w="80" w:type="dxa"/>
              <w:bottom w:w="70" w:type="dxa"/>
              <w:right w:w="80" w:type="dxa"/>
            </w:tcMar>
            <w:vAlign w:val="center"/>
          </w:tcPr>
          <w:p w14:paraId="543497B0">
            <w:pPr>
              <w:keepNext/>
              <w:snapToGrid w:val="0"/>
              <w:spacing w:before="0" w:after="0" w:line="240" w:lineRule="auto"/>
              <w:ind w:left="0" w:leftChars="0" w:right="0" w:rightChars="0" w:firstLine="0" w:firstLineChars="0"/>
              <w:jc w:val="center"/>
              <w:rPr>
                <w:rFonts w:ascii="Heiti SC" w:eastAsia="Heiti SC"/>
                <w:b/>
                <w:sz w:val="20"/>
              </w:rPr>
            </w:pPr>
            <w:r>
              <w:rPr>
                <w:rFonts w:ascii="Heiti SC" w:hAnsi="Heiti SC" w:eastAsia="Heiti SC"/>
                <w:b/>
                <w:color w:val="000000"/>
                <w:sz w:val="20"/>
              </w:rPr>
              <w:t>配储建设后</w:t>
            </w:r>
          </w:p>
        </w:tc>
        <w:tc>
          <w:tcPr>
            <w:tcW w:w="1939" w:type="dxa"/>
            <w:tcMar>
              <w:top w:w="70" w:type="dxa"/>
              <w:left w:w="80" w:type="dxa"/>
              <w:bottom w:w="70" w:type="dxa"/>
              <w:right w:w="80" w:type="dxa"/>
            </w:tcMar>
            <w:vAlign w:val="center"/>
          </w:tcPr>
          <w:p w14:paraId="31C157EA">
            <w:pPr>
              <w:keepNext/>
              <w:snapToGrid w:val="0"/>
              <w:spacing w:before="0" w:after="0" w:line="240" w:lineRule="auto"/>
              <w:ind w:left="0" w:leftChars="0" w:right="0" w:rightChars="0" w:firstLine="0" w:firstLineChars="0"/>
              <w:jc w:val="center"/>
              <w:rPr>
                <w:rFonts w:ascii="Heiti SC" w:eastAsia="Heiti SC"/>
                <w:b/>
                <w:sz w:val="20"/>
              </w:rPr>
            </w:pPr>
            <w:r>
              <w:rPr>
                <w:rFonts w:ascii="Heiti SC" w:hAnsi="Heiti SC" w:eastAsia="Heiti SC"/>
                <w:b/>
                <w:color w:val="000000"/>
                <w:sz w:val="20"/>
              </w:rPr>
              <w:t>变化量</w:t>
            </w:r>
          </w:p>
        </w:tc>
      </w:tr>
      <w:tr w14:paraId="512E350F">
        <w:trPr>
          <w:trHeight w:val="0" w:hRule="atLeast"/>
          <w:jc w:val="center"/>
        </w:trPr>
        <w:tc>
          <w:tcPr>
            <w:tcW w:w="3536" w:type="dxa"/>
            <w:tcMar>
              <w:top w:w="70" w:type="dxa"/>
              <w:left w:w="80" w:type="dxa"/>
              <w:bottom w:w="70" w:type="dxa"/>
              <w:right w:w="80" w:type="dxa"/>
            </w:tcMar>
            <w:vAlign w:val="center"/>
          </w:tcPr>
          <w:p w14:paraId="09F69A5C">
            <w:pPr>
              <w:keepNext/>
              <w:snapToGrid w:val="0"/>
              <w:spacing w:before="0" w:after="0" w:line="240" w:lineRule="auto"/>
              <w:ind w:left="0" w:leftChars="0" w:right="0" w:rightChars="0" w:firstLine="0" w:firstLineChars="0"/>
              <w:jc w:val="left"/>
              <w:rPr>
                <w:rFonts w:ascii="STFangsong" w:eastAsia="STFangsong"/>
                <w:sz w:val="20"/>
              </w:rPr>
            </w:pPr>
            <w:r>
              <w:rPr>
                <w:rFonts w:ascii="STFangsong" w:hAnsi="STFangsong" w:eastAsia="STFangsong"/>
                <w:b w:val="0"/>
                <w:color w:val="000000"/>
                <w:sz w:val="20"/>
              </w:rPr>
              <w:t>项目整体上网电量</w:t>
            </w:r>
            <w:r>
              <w:rPr>
                <w:rFonts w:ascii="STFangsong" w:hAnsi="STFangsong" w:eastAsia="STFangsong"/>
                <w:b w:val="0"/>
                <w:color w:val="000000"/>
                <w:sz w:val="20"/>
              </w:rPr>
              <w:br w:type="textWrapping"/>
            </w:r>
            <w:r>
              <w:rPr>
                <w:rFonts w:ascii="STFangsong" w:hAnsi="STFangsong" w:eastAsia="STFangsong"/>
                <w:b w:val="0"/>
                <w:color w:val="000000"/>
                <w:sz w:val="20"/>
              </w:rPr>
              <w:t>（MWh）</w:t>
            </w:r>
          </w:p>
        </w:tc>
        <w:tc>
          <w:tcPr>
            <w:tcW w:w="1627" w:type="dxa"/>
            <w:tcMar>
              <w:top w:w="70" w:type="dxa"/>
              <w:left w:w="80" w:type="dxa"/>
              <w:bottom w:w="70" w:type="dxa"/>
              <w:right w:w="80" w:type="dxa"/>
            </w:tcMar>
            <w:vAlign w:val="center"/>
          </w:tcPr>
          <w:p w14:paraId="4C057DF8">
            <w:pPr>
              <w:keepNext/>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555,717.5</w:t>
            </w:r>
          </w:p>
        </w:tc>
        <w:tc>
          <w:tcPr>
            <w:tcW w:w="1627" w:type="dxa"/>
            <w:tcMar>
              <w:top w:w="70" w:type="dxa"/>
              <w:left w:w="80" w:type="dxa"/>
              <w:bottom w:w="70" w:type="dxa"/>
              <w:right w:w="80" w:type="dxa"/>
            </w:tcMar>
            <w:vAlign w:val="center"/>
          </w:tcPr>
          <w:p w14:paraId="1A102D5D">
            <w:pPr>
              <w:keepNext/>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566,959.7</w:t>
            </w:r>
          </w:p>
        </w:tc>
        <w:tc>
          <w:tcPr>
            <w:tcW w:w="1939" w:type="dxa"/>
            <w:tcMar>
              <w:top w:w="70" w:type="dxa"/>
              <w:left w:w="80" w:type="dxa"/>
              <w:bottom w:w="70" w:type="dxa"/>
              <w:right w:w="80" w:type="dxa"/>
            </w:tcMar>
            <w:vAlign w:val="center"/>
          </w:tcPr>
          <w:p w14:paraId="46DEB75F">
            <w:pPr>
              <w:keepNext/>
              <w:snapToGrid w:val="0"/>
              <w:spacing w:before="0" w:after="0" w:line="240" w:lineRule="auto"/>
              <w:ind w:left="0" w:leftChars="0" w:right="0" w:rightChars="0" w:firstLine="0" w:firstLineChars="0"/>
              <w:jc w:val="left"/>
              <w:rPr>
                <w:rFonts w:ascii="STFangsong" w:eastAsia="STFangsong"/>
                <w:sz w:val="20"/>
              </w:rPr>
            </w:pPr>
            <w:r>
              <w:rPr>
                <w:rFonts w:ascii="STFangsong" w:hAnsi="STFangsong" w:eastAsia="STFangsong"/>
                <w:b w:val="0"/>
                <w:color w:val="000000"/>
                <w:sz w:val="20"/>
              </w:rPr>
              <w:t>+11,242.2</w:t>
            </w:r>
          </w:p>
        </w:tc>
      </w:tr>
      <w:tr w14:paraId="1E4ECFF5">
        <w:trPr>
          <w:trHeight w:val="0" w:hRule="atLeast"/>
          <w:jc w:val="center"/>
        </w:trPr>
        <w:tc>
          <w:tcPr>
            <w:tcW w:w="3536" w:type="dxa"/>
            <w:tcMar>
              <w:top w:w="70" w:type="dxa"/>
              <w:left w:w="80" w:type="dxa"/>
              <w:bottom w:w="70" w:type="dxa"/>
              <w:right w:w="80" w:type="dxa"/>
            </w:tcMar>
            <w:vAlign w:val="center"/>
          </w:tcPr>
          <w:p w14:paraId="64074D0F">
            <w:pPr>
              <w:keepNext/>
              <w:snapToGrid w:val="0"/>
              <w:spacing w:before="0" w:after="0" w:line="240" w:lineRule="auto"/>
              <w:ind w:left="0" w:leftChars="0" w:right="0" w:rightChars="0" w:firstLine="0" w:firstLineChars="0"/>
              <w:jc w:val="left"/>
              <w:rPr>
                <w:rFonts w:ascii="STFangsong" w:eastAsia="STFangsong"/>
                <w:sz w:val="20"/>
              </w:rPr>
            </w:pPr>
            <w:r>
              <w:rPr>
                <w:rFonts w:ascii="STFangsong" w:hAnsi="STFangsong" w:eastAsia="STFangsong"/>
                <w:b w:val="0"/>
                <w:color w:val="000000"/>
                <w:sz w:val="20"/>
              </w:rPr>
              <w:t>项目整体上网利用小时数</w:t>
            </w:r>
            <w:r>
              <w:rPr>
                <w:rFonts w:ascii="STFangsong" w:hAnsi="STFangsong" w:eastAsia="STFangsong"/>
                <w:b w:val="0"/>
                <w:color w:val="000000"/>
                <w:sz w:val="20"/>
              </w:rPr>
              <w:br w:type="textWrapping"/>
            </w:r>
            <w:r>
              <w:rPr>
                <w:rFonts w:ascii="STFangsong" w:hAnsi="STFangsong" w:eastAsia="STFangsong"/>
                <w:b w:val="0"/>
                <w:color w:val="000000"/>
                <w:sz w:val="20"/>
              </w:rPr>
              <w:t>（h）</w:t>
            </w:r>
          </w:p>
        </w:tc>
        <w:tc>
          <w:tcPr>
            <w:tcW w:w="1627" w:type="dxa"/>
            <w:tcMar>
              <w:top w:w="70" w:type="dxa"/>
              <w:left w:w="80" w:type="dxa"/>
              <w:bottom w:w="70" w:type="dxa"/>
              <w:right w:w="80" w:type="dxa"/>
            </w:tcMar>
            <w:vAlign w:val="center"/>
          </w:tcPr>
          <w:p w14:paraId="1F68338C">
            <w:pPr>
              <w:keepNext/>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1,157.74</w:t>
            </w:r>
          </w:p>
        </w:tc>
        <w:tc>
          <w:tcPr>
            <w:tcW w:w="1627" w:type="dxa"/>
            <w:tcMar>
              <w:top w:w="70" w:type="dxa"/>
              <w:left w:w="80" w:type="dxa"/>
              <w:bottom w:w="70" w:type="dxa"/>
              <w:right w:w="80" w:type="dxa"/>
            </w:tcMar>
            <w:vAlign w:val="center"/>
          </w:tcPr>
          <w:p w14:paraId="134927D8">
            <w:pPr>
              <w:keepNext/>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1,181.17</w:t>
            </w:r>
          </w:p>
        </w:tc>
        <w:tc>
          <w:tcPr>
            <w:tcW w:w="1939" w:type="dxa"/>
            <w:tcMar>
              <w:top w:w="70" w:type="dxa"/>
              <w:left w:w="80" w:type="dxa"/>
              <w:bottom w:w="70" w:type="dxa"/>
              <w:right w:w="80" w:type="dxa"/>
            </w:tcMar>
            <w:vAlign w:val="center"/>
          </w:tcPr>
          <w:p w14:paraId="49E12C36">
            <w:pPr>
              <w:keepNext/>
              <w:snapToGrid w:val="0"/>
              <w:spacing w:before="0" w:after="0" w:line="240" w:lineRule="auto"/>
              <w:ind w:left="0" w:leftChars="0" w:right="0" w:rightChars="0" w:firstLine="0" w:firstLineChars="0"/>
              <w:jc w:val="left"/>
              <w:rPr>
                <w:rFonts w:ascii="STFangsong" w:eastAsia="STFangsong"/>
                <w:sz w:val="20"/>
              </w:rPr>
            </w:pPr>
            <w:r>
              <w:rPr>
                <w:rFonts w:ascii="STFangsong" w:hAnsi="STFangsong" w:eastAsia="STFangsong"/>
                <w:b w:val="0"/>
                <w:color w:val="000000"/>
                <w:sz w:val="20"/>
              </w:rPr>
              <w:t>+23.42</w:t>
            </w:r>
          </w:p>
        </w:tc>
      </w:tr>
      <w:tr w14:paraId="390E9C3D">
        <w:trPr>
          <w:trHeight w:val="0" w:hRule="atLeast"/>
          <w:jc w:val="center"/>
        </w:trPr>
        <w:tc>
          <w:tcPr>
            <w:tcW w:w="3536" w:type="dxa"/>
            <w:tcMar>
              <w:top w:w="70" w:type="dxa"/>
              <w:left w:w="80" w:type="dxa"/>
              <w:bottom w:w="70" w:type="dxa"/>
              <w:right w:w="80" w:type="dxa"/>
            </w:tcMar>
            <w:vAlign w:val="center"/>
          </w:tcPr>
          <w:p w14:paraId="1184AE24">
            <w:pPr>
              <w:keepNext/>
              <w:snapToGrid w:val="0"/>
              <w:spacing w:before="0" w:after="0" w:line="240" w:lineRule="auto"/>
              <w:ind w:left="0" w:leftChars="0" w:right="0" w:rightChars="0" w:firstLine="0" w:firstLineChars="0"/>
              <w:jc w:val="left"/>
              <w:rPr>
                <w:rFonts w:ascii="STFangsong" w:eastAsia="STFangsong"/>
                <w:sz w:val="20"/>
              </w:rPr>
            </w:pPr>
            <w:r>
              <w:rPr>
                <w:rFonts w:ascii="STFangsong" w:hAnsi="STFangsong" w:eastAsia="STFangsong"/>
                <w:b w:val="0"/>
                <w:color w:val="000000"/>
                <w:sz w:val="20"/>
              </w:rPr>
              <w:t>限电量</w:t>
            </w:r>
            <w:r>
              <w:rPr>
                <w:rFonts w:ascii="STFangsong" w:hAnsi="STFangsong" w:eastAsia="STFangsong"/>
                <w:b w:val="0"/>
                <w:color w:val="000000"/>
                <w:sz w:val="20"/>
              </w:rPr>
              <w:br w:type="textWrapping"/>
            </w:r>
            <w:r>
              <w:rPr>
                <w:rFonts w:ascii="STFangsong" w:hAnsi="STFangsong" w:eastAsia="STFangsong"/>
                <w:b w:val="0"/>
                <w:color w:val="000000"/>
                <w:sz w:val="20"/>
              </w:rPr>
              <w:t>（MWh）</w:t>
            </w:r>
          </w:p>
        </w:tc>
        <w:tc>
          <w:tcPr>
            <w:tcW w:w="1627" w:type="dxa"/>
            <w:tcMar>
              <w:top w:w="70" w:type="dxa"/>
              <w:left w:w="80" w:type="dxa"/>
              <w:bottom w:w="70" w:type="dxa"/>
              <w:right w:w="80" w:type="dxa"/>
            </w:tcMar>
            <w:vAlign w:val="center"/>
          </w:tcPr>
          <w:p w14:paraId="5F520729">
            <w:pPr>
              <w:keepNext/>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97,201.6</w:t>
            </w:r>
          </w:p>
        </w:tc>
        <w:tc>
          <w:tcPr>
            <w:tcW w:w="1627" w:type="dxa"/>
            <w:tcMar>
              <w:top w:w="70" w:type="dxa"/>
              <w:left w:w="80" w:type="dxa"/>
              <w:bottom w:w="70" w:type="dxa"/>
              <w:right w:w="80" w:type="dxa"/>
            </w:tcMar>
            <w:vAlign w:val="center"/>
          </w:tcPr>
          <w:p w14:paraId="3A5BDC43">
            <w:pPr>
              <w:keepNext/>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79,917.4</w:t>
            </w:r>
          </w:p>
        </w:tc>
        <w:tc>
          <w:tcPr>
            <w:tcW w:w="1939" w:type="dxa"/>
            <w:tcMar>
              <w:top w:w="70" w:type="dxa"/>
              <w:left w:w="80" w:type="dxa"/>
              <w:bottom w:w="70" w:type="dxa"/>
              <w:right w:w="80" w:type="dxa"/>
            </w:tcMar>
            <w:vAlign w:val="center"/>
          </w:tcPr>
          <w:p w14:paraId="1910FF78">
            <w:pPr>
              <w:keepNext/>
              <w:snapToGrid w:val="0"/>
              <w:spacing w:before="0" w:after="0" w:line="240" w:lineRule="auto"/>
              <w:ind w:left="0" w:leftChars="0" w:right="0" w:rightChars="0" w:firstLine="0" w:firstLineChars="0"/>
              <w:jc w:val="left"/>
              <w:rPr>
                <w:rFonts w:ascii="STFangsong" w:eastAsia="STFangsong"/>
                <w:sz w:val="20"/>
              </w:rPr>
            </w:pPr>
            <w:r>
              <w:rPr>
                <w:rFonts w:ascii="STFangsong" w:hAnsi="STFangsong" w:eastAsia="STFangsong"/>
                <w:b w:val="0"/>
                <w:color w:val="000000"/>
                <w:sz w:val="20"/>
              </w:rPr>
              <w:t>-17,284.2</w:t>
            </w:r>
          </w:p>
        </w:tc>
      </w:tr>
      <w:tr w14:paraId="313E615A">
        <w:trPr>
          <w:trHeight w:val="0" w:hRule="atLeast"/>
          <w:jc w:val="center"/>
        </w:trPr>
        <w:tc>
          <w:tcPr>
            <w:tcW w:w="3536" w:type="dxa"/>
            <w:tcMar>
              <w:top w:w="70" w:type="dxa"/>
              <w:left w:w="80" w:type="dxa"/>
              <w:bottom w:w="70" w:type="dxa"/>
              <w:right w:w="80" w:type="dxa"/>
            </w:tcMar>
            <w:vAlign w:val="center"/>
          </w:tcPr>
          <w:p w14:paraId="4324D10B">
            <w:pPr>
              <w:keepNext/>
              <w:snapToGrid w:val="0"/>
              <w:spacing w:before="0" w:after="0" w:line="240" w:lineRule="auto"/>
              <w:ind w:left="0" w:leftChars="0" w:right="0" w:rightChars="0" w:firstLine="0" w:firstLineChars="0"/>
              <w:jc w:val="left"/>
              <w:rPr>
                <w:rFonts w:ascii="STFangsong" w:eastAsia="STFangsong"/>
                <w:sz w:val="20"/>
              </w:rPr>
            </w:pPr>
            <w:r>
              <w:rPr>
                <w:rFonts w:ascii="STFangsong" w:hAnsi="STFangsong" w:eastAsia="STFangsong"/>
                <w:b w:val="0"/>
                <w:color w:val="000000"/>
                <w:sz w:val="20"/>
              </w:rPr>
              <w:t>限电比例</w:t>
            </w:r>
            <w:r>
              <w:rPr>
                <w:rFonts w:ascii="STFangsong" w:hAnsi="STFangsong" w:eastAsia="STFangsong"/>
                <w:b w:val="0"/>
                <w:color w:val="000000"/>
                <w:sz w:val="20"/>
              </w:rPr>
              <w:br w:type="textWrapping"/>
            </w:r>
            <w:r>
              <w:rPr>
                <w:rFonts w:ascii="STFangsong" w:hAnsi="STFangsong" w:eastAsia="STFangsong"/>
                <w:b w:val="0"/>
                <w:color w:val="000000"/>
                <w:sz w:val="20"/>
              </w:rPr>
              <w:t>（%）</w:t>
            </w:r>
          </w:p>
        </w:tc>
        <w:tc>
          <w:tcPr>
            <w:tcW w:w="1627" w:type="dxa"/>
            <w:tcMar>
              <w:top w:w="70" w:type="dxa"/>
              <w:left w:w="80" w:type="dxa"/>
              <w:bottom w:w="70" w:type="dxa"/>
              <w:right w:w="80" w:type="dxa"/>
            </w:tcMar>
            <w:vAlign w:val="center"/>
          </w:tcPr>
          <w:p w14:paraId="686985B0">
            <w:pPr>
              <w:keepNext/>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14.89</w:t>
            </w:r>
          </w:p>
        </w:tc>
        <w:tc>
          <w:tcPr>
            <w:tcW w:w="1627" w:type="dxa"/>
            <w:tcMar>
              <w:top w:w="70" w:type="dxa"/>
              <w:left w:w="80" w:type="dxa"/>
              <w:bottom w:w="70" w:type="dxa"/>
              <w:right w:w="80" w:type="dxa"/>
            </w:tcMar>
            <w:vAlign w:val="center"/>
          </w:tcPr>
          <w:p w14:paraId="30B38BBC">
            <w:pPr>
              <w:keepNext/>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12.24</w:t>
            </w:r>
          </w:p>
        </w:tc>
        <w:tc>
          <w:tcPr>
            <w:tcW w:w="1939" w:type="dxa"/>
            <w:tcMar>
              <w:top w:w="70" w:type="dxa"/>
              <w:left w:w="80" w:type="dxa"/>
              <w:bottom w:w="70" w:type="dxa"/>
              <w:right w:w="80" w:type="dxa"/>
            </w:tcMar>
            <w:vAlign w:val="center"/>
          </w:tcPr>
          <w:p w14:paraId="393160A5">
            <w:pPr>
              <w:keepNext/>
              <w:snapToGrid w:val="0"/>
              <w:spacing w:before="0" w:after="0" w:line="240" w:lineRule="auto"/>
              <w:ind w:left="0" w:leftChars="0" w:right="0" w:rightChars="0" w:firstLine="0" w:firstLineChars="0"/>
              <w:jc w:val="left"/>
              <w:rPr>
                <w:rFonts w:ascii="STFangsong" w:eastAsia="STFangsong"/>
                <w:sz w:val="20"/>
              </w:rPr>
            </w:pPr>
            <w:r>
              <w:rPr>
                <w:rFonts w:ascii="STFangsong" w:hAnsi="STFangsong" w:eastAsia="STFangsong"/>
                <w:b w:val="0"/>
                <w:color w:val="000000"/>
                <w:sz w:val="20"/>
              </w:rPr>
              <w:t>-2.65个百分点</w:t>
            </w:r>
          </w:p>
        </w:tc>
      </w:tr>
      <w:tr w14:paraId="0BFD09E0">
        <w:trPr>
          <w:trHeight w:val="0" w:hRule="atLeast"/>
          <w:jc w:val="center"/>
        </w:trPr>
        <w:tc>
          <w:tcPr>
            <w:tcW w:w="3536" w:type="dxa"/>
            <w:tcMar>
              <w:top w:w="70" w:type="dxa"/>
              <w:left w:w="80" w:type="dxa"/>
              <w:bottom w:w="70" w:type="dxa"/>
              <w:right w:w="80" w:type="dxa"/>
            </w:tcMar>
            <w:vAlign w:val="center"/>
          </w:tcPr>
          <w:p w14:paraId="0EB9891B">
            <w:pPr>
              <w:keepNext/>
              <w:snapToGrid w:val="0"/>
              <w:spacing w:before="0" w:after="0" w:line="240" w:lineRule="auto"/>
              <w:ind w:left="0" w:leftChars="0" w:right="0" w:rightChars="0" w:firstLine="0" w:firstLineChars="0"/>
              <w:jc w:val="left"/>
              <w:rPr>
                <w:rFonts w:ascii="STFangsong" w:eastAsia="STFangsong"/>
                <w:sz w:val="20"/>
              </w:rPr>
            </w:pPr>
            <w:r>
              <w:rPr>
                <w:rFonts w:ascii="STFangsong" w:hAnsi="STFangsong" w:eastAsia="STFangsong"/>
                <w:b w:val="0"/>
                <w:color w:val="000000"/>
                <w:sz w:val="20"/>
              </w:rPr>
              <w:t>实时市场平均结算电价</w:t>
            </w:r>
            <w:r>
              <w:rPr>
                <w:rFonts w:ascii="STFangsong" w:hAnsi="STFangsong" w:eastAsia="STFangsong"/>
                <w:b w:val="0"/>
                <w:color w:val="000000"/>
                <w:sz w:val="20"/>
              </w:rPr>
              <w:br w:type="textWrapping"/>
            </w:r>
            <w:r>
              <w:rPr>
                <w:rFonts w:ascii="STFangsong" w:hAnsi="STFangsong" w:eastAsia="STFangsong"/>
                <w:b w:val="0"/>
                <w:color w:val="000000"/>
                <w:sz w:val="20"/>
              </w:rPr>
              <w:t>（元/MWh）</w:t>
            </w:r>
          </w:p>
        </w:tc>
        <w:tc>
          <w:tcPr>
            <w:tcW w:w="1627" w:type="dxa"/>
            <w:tcMar>
              <w:top w:w="70" w:type="dxa"/>
              <w:left w:w="80" w:type="dxa"/>
              <w:bottom w:w="70" w:type="dxa"/>
              <w:right w:w="80" w:type="dxa"/>
            </w:tcMar>
            <w:vAlign w:val="center"/>
          </w:tcPr>
          <w:p w14:paraId="286EA868">
            <w:pPr>
              <w:keepNext/>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139.90</w:t>
            </w:r>
          </w:p>
        </w:tc>
        <w:tc>
          <w:tcPr>
            <w:tcW w:w="1627" w:type="dxa"/>
            <w:tcMar>
              <w:top w:w="70" w:type="dxa"/>
              <w:left w:w="80" w:type="dxa"/>
              <w:bottom w:w="70" w:type="dxa"/>
              <w:right w:w="80" w:type="dxa"/>
            </w:tcMar>
            <w:vAlign w:val="center"/>
          </w:tcPr>
          <w:p w14:paraId="358ABF92">
            <w:pPr>
              <w:keepNext/>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199.20</w:t>
            </w:r>
          </w:p>
        </w:tc>
        <w:tc>
          <w:tcPr>
            <w:tcW w:w="1939" w:type="dxa"/>
            <w:tcMar>
              <w:top w:w="70" w:type="dxa"/>
              <w:left w:w="80" w:type="dxa"/>
              <w:bottom w:w="70" w:type="dxa"/>
              <w:right w:w="80" w:type="dxa"/>
            </w:tcMar>
            <w:vAlign w:val="center"/>
          </w:tcPr>
          <w:p w14:paraId="322792BB">
            <w:pPr>
              <w:keepNext/>
              <w:snapToGrid w:val="0"/>
              <w:spacing w:before="0" w:after="0" w:line="240" w:lineRule="auto"/>
              <w:ind w:left="0" w:leftChars="0" w:right="0" w:rightChars="0" w:firstLine="0" w:firstLineChars="0"/>
              <w:jc w:val="left"/>
              <w:rPr>
                <w:rFonts w:ascii="STFangsong" w:eastAsia="STFangsong"/>
                <w:sz w:val="20"/>
              </w:rPr>
            </w:pPr>
            <w:r>
              <w:rPr>
                <w:rFonts w:ascii="STFangsong" w:hAnsi="STFangsong" w:eastAsia="STFangsong"/>
                <w:b w:val="0"/>
                <w:color w:val="000000"/>
                <w:sz w:val="20"/>
              </w:rPr>
              <w:t>+59.30</w:t>
            </w:r>
          </w:p>
        </w:tc>
      </w:tr>
      <w:tr w14:paraId="104946A2">
        <w:trPr>
          <w:trHeight w:val="0" w:hRule="atLeast"/>
          <w:jc w:val="center"/>
        </w:trPr>
        <w:tc>
          <w:tcPr>
            <w:tcW w:w="3536" w:type="dxa"/>
            <w:tcMar>
              <w:top w:w="70" w:type="dxa"/>
              <w:left w:w="80" w:type="dxa"/>
              <w:bottom w:w="70" w:type="dxa"/>
              <w:right w:w="80" w:type="dxa"/>
            </w:tcMar>
            <w:vAlign w:val="center"/>
          </w:tcPr>
          <w:p w14:paraId="5BB9825F">
            <w:pPr>
              <w:keepNext/>
              <w:snapToGrid w:val="0"/>
              <w:spacing w:before="0" w:after="0" w:line="240" w:lineRule="auto"/>
              <w:ind w:left="0" w:leftChars="0" w:right="0" w:rightChars="0" w:firstLine="0" w:firstLineChars="0"/>
              <w:jc w:val="left"/>
              <w:rPr>
                <w:rFonts w:ascii="STFangsong" w:eastAsia="STFangsong"/>
                <w:sz w:val="20"/>
              </w:rPr>
            </w:pPr>
            <w:r>
              <w:rPr>
                <w:rFonts w:ascii="STFangsong" w:hAnsi="STFangsong" w:eastAsia="STFangsong"/>
                <w:b w:val="0"/>
                <w:color w:val="000000"/>
                <w:sz w:val="20"/>
              </w:rPr>
              <w:t>综合平均结算电价</w:t>
            </w:r>
            <w:r>
              <w:rPr>
                <w:rFonts w:ascii="STFangsong" w:hAnsi="STFangsong" w:eastAsia="STFangsong"/>
                <w:b w:val="0"/>
                <w:color w:val="000000"/>
                <w:sz w:val="20"/>
              </w:rPr>
              <w:br w:type="textWrapping"/>
            </w:r>
            <w:r>
              <w:rPr>
                <w:rFonts w:ascii="STFangsong" w:hAnsi="STFangsong" w:eastAsia="STFangsong"/>
                <w:b w:val="0"/>
                <w:color w:val="000000"/>
                <w:sz w:val="20"/>
              </w:rPr>
              <w:t>（含容量补偿，元/MWh）</w:t>
            </w:r>
          </w:p>
        </w:tc>
        <w:tc>
          <w:tcPr>
            <w:tcW w:w="1627" w:type="dxa"/>
            <w:tcMar>
              <w:top w:w="70" w:type="dxa"/>
              <w:left w:w="80" w:type="dxa"/>
              <w:bottom w:w="70" w:type="dxa"/>
              <w:right w:w="80" w:type="dxa"/>
            </w:tcMar>
            <w:vAlign w:val="center"/>
          </w:tcPr>
          <w:p w14:paraId="7912E0FE">
            <w:pPr>
              <w:keepNext/>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139.90</w:t>
            </w:r>
          </w:p>
        </w:tc>
        <w:tc>
          <w:tcPr>
            <w:tcW w:w="1627" w:type="dxa"/>
            <w:tcMar>
              <w:top w:w="70" w:type="dxa"/>
              <w:left w:w="80" w:type="dxa"/>
              <w:bottom w:w="70" w:type="dxa"/>
              <w:right w:w="80" w:type="dxa"/>
            </w:tcMar>
            <w:vAlign w:val="center"/>
          </w:tcPr>
          <w:p w14:paraId="448D1886">
            <w:pPr>
              <w:keepNext/>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208.69</w:t>
            </w:r>
          </w:p>
        </w:tc>
        <w:tc>
          <w:tcPr>
            <w:tcW w:w="1939" w:type="dxa"/>
            <w:tcMar>
              <w:top w:w="70" w:type="dxa"/>
              <w:left w:w="80" w:type="dxa"/>
              <w:bottom w:w="70" w:type="dxa"/>
              <w:right w:w="80" w:type="dxa"/>
            </w:tcMar>
            <w:vAlign w:val="center"/>
          </w:tcPr>
          <w:p w14:paraId="1AD4601D">
            <w:pPr>
              <w:keepNext/>
              <w:snapToGrid w:val="0"/>
              <w:spacing w:before="0" w:after="0" w:line="240" w:lineRule="auto"/>
              <w:ind w:left="0" w:leftChars="0" w:right="0" w:rightChars="0" w:firstLine="0" w:firstLineChars="0"/>
              <w:jc w:val="left"/>
              <w:rPr>
                <w:rFonts w:ascii="STFangsong" w:eastAsia="STFangsong"/>
                <w:sz w:val="20"/>
              </w:rPr>
            </w:pPr>
            <w:r>
              <w:rPr>
                <w:rFonts w:ascii="STFangsong" w:hAnsi="STFangsong" w:eastAsia="STFangsong"/>
                <w:b w:val="0"/>
                <w:color w:val="000000"/>
                <w:sz w:val="20"/>
              </w:rPr>
              <w:t>+68.79</w:t>
            </w:r>
          </w:p>
        </w:tc>
      </w:tr>
    </w:tbl>
    <w:p w14:paraId="39641337">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建设前新能源实际上网电量为555,717.5MWh。建设后将新能源项目与储能作为一个整体，整体上网电量按“原新能源上网电量555,717.5MWh－发电充电电量90,517.4MWh＋储能实际放电电量101,759.6MWh”计算，为566,959.7MWh，增加11,242.2MWh。对应项目整体上网利用小时由1,157.74小时变为1,181.17小时。</w:t>
      </w:r>
    </w:p>
    <w:p w14:paraId="70CE2D2C">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限电量按发电侧实际利用口径单独计算。储能在限电时段实际充入17,284.2MWh后，这部分电量已经发出并被储能利用，因此建设后限电量为97,201.6－17,284.2＝79,917.4MWh，限电比例由14.89%降至12.24%，下降2.65个百分点。</w:t>
      </w:r>
    </w:p>
    <w:p w14:paraId="57E01979">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建设前实时市场平均结算电价按新能源实际上网电量与实时市场价格加权，为139.90元/MWh。配储后，发电充电削减低价时段上网电量，储能放电增加相应时点上网电量，按改变后的净上网曲线重新加权，实时市场平均结算电价为199.20元/MWh，变化+59.30元/MWh。计入抵厂用电收益和容量补偿后，综合平均结算电价为208.69元/MWh，较建设前变化+68.79元/MWh。</w:t>
      </w:r>
    </w:p>
    <w:p w14:paraId="102ED67D">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项目整体净上网增量11,242.2MWh由三部分构成：限电充电经93%效率转换后形成16,074.3MWh，偏差弥补经转换后形成1,504.1MWh，发电充电转移过程损失6,336.2MWh；三者合计为16,074.3＋1,504.1－6,336.2＝11,242.2MWh。偏差弥补不计入上述限电量减少值。</w:t>
      </w:r>
    </w:p>
    <w:p w14:paraId="39D79361">
      <w:pPr>
        <w:pStyle w:val="4"/>
        <w:jc w:val="both"/>
        <w:rPr>
          <w:rFonts w:hint="eastAsia" w:ascii="楷体_GB2312" w:hAnsi="楷体_GB2312" w:eastAsia="楷体_GB2312" w:cs="楷体_GB2312"/>
          <w:b/>
          <w:bCs w:val="0"/>
        </w:rPr>
      </w:pPr>
      <w:r>
        <w:rPr>
          <w:rFonts w:hint="eastAsia" w:ascii="楷体_GB2312" w:hAnsi="楷体_GB2312" w:eastAsia="楷体_GB2312" w:cs="楷体_GB2312"/>
          <w:b/>
          <w:bCs w:val="0"/>
        </w:rPr>
        <w:t>（二）储能运行指标</w:t>
      </w:r>
    </w:p>
    <w:tbl>
      <w:tblPr>
        <w:tblStyle w:val="33"/>
        <w:tblW w:w="87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05"/>
        <w:gridCol w:w="5525"/>
      </w:tblGrid>
      <w:tr w14:paraId="33E95E5E">
        <w:trPr>
          <w:trHeight w:val="0" w:hRule="atLeast"/>
          <w:tblHeader/>
          <w:jc w:val="center"/>
        </w:trPr>
        <w:tc>
          <w:tcPr>
            <w:tcW w:w="3205" w:type="dxa"/>
            <w:tcMar>
              <w:top w:w="70" w:type="dxa"/>
              <w:left w:w="80" w:type="dxa"/>
              <w:bottom w:w="70" w:type="dxa"/>
              <w:right w:w="80" w:type="dxa"/>
            </w:tcMar>
            <w:vAlign w:val="center"/>
          </w:tcPr>
          <w:p w14:paraId="69CC32E5">
            <w:pPr>
              <w:snapToGrid w:val="0"/>
              <w:spacing w:before="0" w:after="0" w:line="240" w:lineRule="auto"/>
              <w:ind w:left="0" w:leftChars="0" w:right="0" w:rightChars="0" w:firstLine="0" w:firstLineChars="0"/>
              <w:jc w:val="center"/>
              <w:rPr>
                <w:rFonts w:ascii="Heiti SC" w:eastAsia="Heiti SC"/>
                <w:b/>
                <w:sz w:val="23"/>
              </w:rPr>
            </w:pPr>
            <w:r>
              <w:rPr>
                <w:rFonts w:ascii="Heiti SC" w:hAnsi="Heiti SC" w:eastAsia="Heiti SC"/>
                <w:b/>
                <w:color w:val="000000"/>
                <w:sz w:val="23"/>
              </w:rPr>
              <w:t>运行指标</w:t>
            </w:r>
          </w:p>
        </w:tc>
        <w:tc>
          <w:tcPr>
            <w:tcW w:w="5525" w:type="dxa"/>
            <w:tcMar>
              <w:top w:w="70" w:type="dxa"/>
              <w:left w:w="80" w:type="dxa"/>
              <w:bottom w:w="70" w:type="dxa"/>
              <w:right w:w="80" w:type="dxa"/>
            </w:tcMar>
            <w:vAlign w:val="center"/>
          </w:tcPr>
          <w:p w14:paraId="55951387">
            <w:pPr>
              <w:snapToGrid w:val="0"/>
              <w:spacing w:before="0" w:after="0" w:line="240" w:lineRule="auto"/>
              <w:ind w:left="0" w:leftChars="0" w:right="0" w:rightChars="0" w:firstLine="0" w:firstLineChars="0"/>
              <w:jc w:val="center"/>
              <w:rPr>
                <w:rFonts w:ascii="Heiti SC" w:eastAsia="Heiti SC"/>
                <w:b/>
                <w:sz w:val="23"/>
              </w:rPr>
            </w:pPr>
            <w:r>
              <w:rPr>
                <w:rFonts w:ascii="Heiti SC" w:hAnsi="Heiti SC" w:eastAsia="Heiti SC"/>
                <w:b/>
                <w:color w:val="000000"/>
                <w:sz w:val="23"/>
              </w:rPr>
              <w:t>测算值</w:t>
            </w:r>
          </w:p>
        </w:tc>
      </w:tr>
      <w:tr w14:paraId="7CD58D57">
        <w:trPr>
          <w:trHeight w:val="0" w:hRule="atLeast"/>
          <w:jc w:val="center"/>
        </w:trPr>
        <w:tc>
          <w:tcPr>
            <w:tcW w:w="3205" w:type="dxa"/>
            <w:tcMar>
              <w:top w:w="70" w:type="dxa"/>
              <w:left w:w="80" w:type="dxa"/>
              <w:bottom w:w="70" w:type="dxa"/>
              <w:right w:w="80" w:type="dxa"/>
            </w:tcMar>
            <w:vAlign w:val="center"/>
          </w:tcPr>
          <w:p w14:paraId="29FCE32C">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储能总充电量</w:t>
            </w:r>
          </w:p>
        </w:tc>
        <w:tc>
          <w:tcPr>
            <w:tcW w:w="5525" w:type="dxa"/>
            <w:tcMar>
              <w:top w:w="70" w:type="dxa"/>
              <w:left w:w="80" w:type="dxa"/>
              <w:bottom w:w="70" w:type="dxa"/>
              <w:right w:w="80" w:type="dxa"/>
            </w:tcMar>
            <w:vAlign w:val="center"/>
          </w:tcPr>
          <w:p w14:paraId="4C59ED49">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109,419.0 MWh</w:t>
            </w:r>
          </w:p>
        </w:tc>
      </w:tr>
      <w:tr w14:paraId="75281AAF">
        <w:trPr>
          <w:trHeight w:val="0" w:hRule="atLeast"/>
          <w:jc w:val="center"/>
        </w:trPr>
        <w:tc>
          <w:tcPr>
            <w:tcW w:w="3205" w:type="dxa"/>
            <w:tcMar>
              <w:top w:w="70" w:type="dxa"/>
              <w:left w:w="80" w:type="dxa"/>
              <w:bottom w:w="70" w:type="dxa"/>
              <w:right w:w="80" w:type="dxa"/>
            </w:tcMar>
            <w:vAlign w:val="center"/>
          </w:tcPr>
          <w:p w14:paraId="442DBE21">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限电电量充电</w:t>
            </w:r>
          </w:p>
        </w:tc>
        <w:tc>
          <w:tcPr>
            <w:tcW w:w="5525" w:type="dxa"/>
            <w:tcMar>
              <w:top w:w="70" w:type="dxa"/>
              <w:left w:w="80" w:type="dxa"/>
              <w:bottom w:w="70" w:type="dxa"/>
              <w:right w:w="80" w:type="dxa"/>
            </w:tcMar>
            <w:vAlign w:val="center"/>
          </w:tcPr>
          <w:p w14:paraId="268CFD9F">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17,284.2 MWh，占总充电量15.8%</w:t>
            </w:r>
          </w:p>
        </w:tc>
      </w:tr>
      <w:tr w14:paraId="11F74676">
        <w:trPr>
          <w:trHeight w:val="0" w:hRule="atLeast"/>
          <w:jc w:val="center"/>
        </w:trPr>
        <w:tc>
          <w:tcPr>
            <w:tcW w:w="3205" w:type="dxa"/>
            <w:tcMar>
              <w:top w:w="70" w:type="dxa"/>
              <w:left w:w="80" w:type="dxa"/>
              <w:bottom w:w="70" w:type="dxa"/>
              <w:right w:w="80" w:type="dxa"/>
            </w:tcMar>
            <w:vAlign w:val="center"/>
          </w:tcPr>
          <w:p w14:paraId="5B917E48">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偏差弥补</w:t>
            </w:r>
          </w:p>
        </w:tc>
        <w:tc>
          <w:tcPr>
            <w:tcW w:w="5525" w:type="dxa"/>
            <w:tcMar>
              <w:top w:w="70" w:type="dxa"/>
              <w:left w:w="80" w:type="dxa"/>
              <w:bottom w:w="70" w:type="dxa"/>
              <w:right w:w="80" w:type="dxa"/>
            </w:tcMar>
            <w:vAlign w:val="center"/>
          </w:tcPr>
          <w:p w14:paraId="205684DC">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1,617.3 MWh，占总充电量1.5%</w:t>
            </w:r>
          </w:p>
        </w:tc>
      </w:tr>
      <w:tr w14:paraId="20947E8C">
        <w:trPr>
          <w:trHeight w:val="0" w:hRule="atLeast"/>
          <w:jc w:val="center"/>
        </w:trPr>
        <w:tc>
          <w:tcPr>
            <w:tcW w:w="3205" w:type="dxa"/>
            <w:tcMar>
              <w:top w:w="70" w:type="dxa"/>
              <w:left w:w="80" w:type="dxa"/>
              <w:bottom w:w="70" w:type="dxa"/>
              <w:right w:w="80" w:type="dxa"/>
            </w:tcMar>
            <w:vAlign w:val="center"/>
          </w:tcPr>
          <w:p w14:paraId="539D1D77">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发电充电量</w:t>
            </w:r>
          </w:p>
        </w:tc>
        <w:tc>
          <w:tcPr>
            <w:tcW w:w="5525" w:type="dxa"/>
            <w:tcMar>
              <w:top w:w="70" w:type="dxa"/>
              <w:left w:w="80" w:type="dxa"/>
              <w:bottom w:w="70" w:type="dxa"/>
              <w:right w:w="80" w:type="dxa"/>
            </w:tcMar>
            <w:vAlign w:val="center"/>
          </w:tcPr>
          <w:p w14:paraId="76075908">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90,517.0 MWh</w:t>
            </w:r>
          </w:p>
        </w:tc>
      </w:tr>
      <w:tr w14:paraId="3E132E80">
        <w:trPr>
          <w:trHeight w:val="0" w:hRule="atLeast"/>
          <w:jc w:val="center"/>
        </w:trPr>
        <w:tc>
          <w:tcPr>
            <w:tcW w:w="3205" w:type="dxa"/>
            <w:tcMar>
              <w:top w:w="70" w:type="dxa"/>
              <w:left w:w="80" w:type="dxa"/>
              <w:bottom w:w="70" w:type="dxa"/>
              <w:right w:w="80" w:type="dxa"/>
            </w:tcMar>
            <w:vAlign w:val="center"/>
          </w:tcPr>
          <w:p w14:paraId="431E5793">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总放电量</w:t>
            </w:r>
          </w:p>
        </w:tc>
        <w:tc>
          <w:tcPr>
            <w:tcW w:w="5525" w:type="dxa"/>
            <w:tcMar>
              <w:top w:w="70" w:type="dxa"/>
              <w:left w:w="80" w:type="dxa"/>
              <w:bottom w:w="70" w:type="dxa"/>
              <w:right w:w="80" w:type="dxa"/>
            </w:tcMar>
            <w:vAlign w:val="center"/>
          </w:tcPr>
          <w:p w14:paraId="601C4ACF">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101,760.0 MWh</w:t>
            </w:r>
          </w:p>
        </w:tc>
      </w:tr>
      <w:tr w14:paraId="6ED80D02">
        <w:trPr>
          <w:trHeight w:val="0" w:hRule="atLeast"/>
          <w:jc w:val="center"/>
        </w:trPr>
        <w:tc>
          <w:tcPr>
            <w:tcW w:w="3205" w:type="dxa"/>
            <w:tcMar>
              <w:top w:w="70" w:type="dxa"/>
              <w:left w:w="80" w:type="dxa"/>
              <w:bottom w:w="70" w:type="dxa"/>
              <w:right w:w="80" w:type="dxa"/>
            </w:tcMar>
            <w:vAlign w:val="center"/>
          </w:tcPr>
          <w:p w14:paraId="71A22701">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等效满循环</w:t>
            </w:r>
          </w:p>
        </w:tc>
        <w:tc>
          <w:tcPr>
            <w:tcW w:w="5525" w:type="dxa"/>
            <w:tcMar>
              <w:top w:w="70" w:type="dxa"/>
              <w:left w:w="80" w:type="dxa"/>
              <w:bottom w:w="70" w:type="dxa"/>
              <w:right w:w="80" w:type="dxa"/>
            </w:tcMar>
            <w:vAlign w:val="center"/>
          </w:tcPr>
          <w:p w14:paraId="2E0EC255">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273.5次/年</w:t>
            </w:r>
          </w:p>
        </w:tc>
      </w:tr>
      <w:tr w14:paraId="21A6DE22">
        <w:trPr>
          <w:trHeight w:val="0" w:hRule="atLeast"/>
          <w:jc w:val="center"/>
        </w:trPr>
        <w:tc>
          <w:tcPr>
            <w:tcW w:w="3205" w:type="dxa"/>
            <w:tcMar>
              <w:top w:w="70" w:type="dxa"/>
              <w:left w:w="80" w:type="dxa"/>
              <w:bottom w:w="70" w:type="dxa"/>
              <w:right w:w="80" w:type="dxa"/>
            </w:tcMar>
            <w:vAlign w:val="center"/>
          </w:tcPr>
          <w:p w14:paraId="1412575E">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限电电量利用率</w:t>
            </w:r>
          </w:p>
        </w:tc>
        <w:tc>
          <w:tcPr>
            <w:tcW w:w="5525" w:type="dxa"/>
            <w:tcMar>
              <w:top w:w="70" w:type="dxa"/>
              <w:left w:w="80" w:type="dxa"/>
              <w:bottom w:w="70" w:type="dxa"/>
              <w:right w:w="80" w:type="dxa"/>
            </w:tcMar>
            <w:vAlign w:val="center"/>
          </w:tcPr>
          <w:p w14:paraId="64355CBC">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17.78%</w:t>
            </w:r>
          </w:p>
        </w:tc>
      </w:tr>
      <w:tr w14:paraId="5F42D1F2">
        <w:trPr>
          <w:trHeight w:val="0" w:hRule="atLeast"/>
          <w:jc w:val="center"/>
        </w:trPr>
        <w:tc>
          <w:tcPr>
            <w:tcW w:w="3205" w:type="dxa"/>
            <w:tcMar>
              <w:top w:w="70" w:type="dxa"/>
              <w:left w:w="80" w:type="dxa"/>
              <w:bottom w:w="70" w:type="dxa"/>
              <w:right w:w="80" w:type="dxa"/>
            </w:tcMar>
            <w:vAlign w:val="center"/>
          </w:tcPr>
          <w:p w14:paraId="3F84DD05">
            <w:pPr>
              <w:snapToGrid w:val="0"/>
              <w:spacing w:before="0" w:after="0" w:line="240" w:lineRule="auto"/>
              <w:ind w:left="0" w:leftChars="0" w:right="0" w:rightChars="0" w:firstLine="0" w:firstLineChars="0"/>
              <w:jc w:val="left"/>
              <w:rPr>
                <w:rFonts w:ascii="STFangsong" w:eastAsia="STFangsong"/>
                <w:b/>
                <w:sz w:val="23"/>
              </w:rPr>
            </w:pPr>
            <w:r>
              <w:rPr>
                <w:rFonts w:ascii="STFangsong" w:hAnsi="STFangsong" w:eastAsia="STFangsong"/>
                <w:b/>
                <w:color w:val="000000"/>
                <w:sz w:val="23"/>
              </w:rPr>
              <w:t>发电充电平均成本</w:t>
            </w:r>
          </w:p>
        </w:tc>
        <w:tc>
          <w:tcPr>
            <w:tcW w:w="5525" w:type="dxa"/>
            <w:tcMar>
              <w:top w:w="70" w:type="dxa"/>
              <w:left w:w="80" w:type="dxa"/>
              <w:bottom w:w="70" w:type="dxa"/>
              <w:right w:w="80" w:type="dxa"/>
            </w:tcMar>
            <w:vAlign w:val="center"/>
          </w:tcPr>
          <w:p w14:paraId="4B5CE400">
            <w:pPr>
              <w:snapToGrid w:val="0"/>
              <w:spacing w:before="0" w:after="0" w:line="240" w:lineRule="auto"/>
              <w:ind w:left="0" w:leftChars="0" w:right="0" w:rightChars="0" w:firstLine="0" w:firstLineChars="0"/>
              <w:jc w:val="left"/>
              <w:rPr>
                <w:rFonts w:ascii="STFangsong" w:eastAsia="STFangsong"/>
                <w:b/>
                <w:sz w:val="23"/>
              </w:rPr>
            </w:pPr>
            <w:r>
              <w:rPr>
                <w:rFonts w:ascii="STFangsong" w:hAnsi="STFangsong" w:eastAsia="STFangsong"/>
                <w:b/>
                <w:color w:val="000000"/>
                <w:sz w:val="23"/>
              </w:rPr>
              <w:t>47.54元/MWh</w:t>
            </w:r>
          </w:p>
        </w:tc>
      </w:tr>
      <w:tr w14:paraId="3E9FA924">
        <w:trPr>
          <w:trHeight w:val="0" w:hRule="atLeast"/>
          <w:jc w:val="center"/>
        </w:trPr>
        <w:tc>
          <w:tcPr>
            <w:tcW w:w="3205" w:type="dxa"/>
            <w:tcMar>
              <w:top w:w="70" w:type="dxa"/>
              <w:left w:w="80" w:type="dxa"/>
              <w:bottom w:w="70" w:type="dxa"/>
              <w:right w:w="80" w:type="dxa"/>
            </w:tcMar>
            <w:vAlign w:val="center"/>
          </w:tcPr>
          <w:p w14:paraId="21E37831">
            <w:pPr>
              <w:snapToGrid w:val="0"/>
              <w:spacing w:before="0" w:after="0" w:line="240" w:lineRule="auto"/>
              <w:ind w:left="0" w:leftChars="0" w:right="0" w:rightChars="0" w:firstLine="0" w:firstLineChars="0"/>
              <w:jc w:val="left"/>
              <w:rPr>
                <w:rFonts w:ascii="STFangsong" w:eastAsia="STFangsong"/>
                <w:b/>
                <w:sz w:val="23"/>
              </w:rPr>
            </w:pPr>
            <w:r>
              <w:rPr>
                <w:rFonts w:ascii="STFangsong" w:hAnsi="STFangsong" w:eastAsia="STFangsong"/>
                <w:b/>
                <w:color w:val="000000"/>
                <w:sz w:val="23"/>
              </w:rPr>
              <w:t>平均放电收益</w:t>
            </w:r>
          </w:p>
        </w:tc>
        <w:tc>
          <w:tcPr>
            <w:tcW w:w="5525" w:type="dxa"/>
            <w:tcMar>
              <w:top w:w="70" w:type="dxa"/>
              <w:left w:w="80" w:type="dxa"/>
              <w:bottom w:w="70" w:type="dxa"/>
              <w:right w:w="80" w:type="dxa"/>
            </w:tcMar>
            <w:vAlign w:val="center"/>
          </w:tcPr>
          <w:p w14:paraId="3FF40FA6">
            <w:pPr>
              <w:snapToGrid w:val="0"/>
              <w:spacing w:before="0" w:after="0" w:line="240" w:lineRule="auto"/>
              <w:ind w:left="0" w:leftChars="0" w:right="0" w:rightChars="0" w:firstLine="0" w:firstLineChars="0"/>
              <w:jc w:val="left"/>
              <w:rPr>
                <w:rFonts w:ascii="STFangsong" w:eastAsia="STFangsong"/>
                <w:b/>
                <w:sz w:val="23"/>
              </w:rPr>
            </w:pPr>
            <w:r>
              <w:rPr>
                <w:rFonts w:ascii="STFangsong" w:hAnsi="STFangsong" w:eastAsia="STFangsong"/>
                <w:b/>
                <w:color w:val="000000"/>
                <w:sz w:val="23"/>
              </w:rPr>
              <w:t>408.04元/MWh</w:t>
            </w:r>
          </w:p>
        </w:tc>
      </w:tr>
    </w:tbl>
    <w:p w14:paraId="67FC5813">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全年总充电量为109,419.0MWh。其中，来自限电电量的充电量为17,284.2MWh，偏差弥补电量为1,617.3MWh。两类免费电量合计18,902.0MWh，占总充电量17.3%；其余90,517.0MWh为按预测价差安排的发电充电。</w:t>
      </w:r>
    </w:p>
    <w:p w14:paraId="3AE3A8E1">
      <w:pPr>
        <w:spacing w:before="0" w:after="0" w:line="579" w:lineRule="exact"/>
        <w:ind w:firstLine="640"/>
        <w:jc w:val="both"/>
      </w:pPr>
      <w:r>
        <w:rPr>
          <w:rFonts w:hint="eastAsia" w:ascii="仿宋_GB2312" w:hAnsi="仿宋_GB2312" w:eastAsia="仿宋_GB2312" w:cs="仿宋_GB2312"/>
          <w:b w:val="0"/>
          <w:color w:val="000000"/>
          <w:sz w:val="32"/>
        </w:rPr>
        <w:t>全年总放电量为101,760.0MWh，与93%的效率假设基本闭合。按总充电量除以400MWh容量计算，全年等效满循环273.5次，平均每天0.75次。</w:t>
      </w:r>
    </w:p>
    <w:p w14:paraId="726D725C">
      <w:pPr>
        <w:pStyle w:val="4"/>
        <w:jc w:val="both"/>
        <w:rPr>
          <w:rFonts w:hint="eastAsia" w:ascii="楷体_GB2312" w:hAnsi="楷体_GB2312" w:eastAsia="楷体_GB2312" w:cs="楷体_GB2312"/>
          <w:b/>
          <w:bCs w:val="0"/>
        </w:rPr>
      </w:pPr>
      <w:r>
        <w:rPr>
          <w:rFonts w:hint="eastAsia" w:ascii="楷体_GB2312" w:hAnsi="楷体_GB2312" w:eastAsia="楷体_GB2312" w:cs="楷体_GB2312"/>
          <w:b/>
          <w:bCs w:val="0"/>
        </w:rPr>
        <w:t>（三）首年收益</w:t>
      </w:r>
    </w:p>
    <w:tbl>
      <w:tblPr>
        <w:tblStyle w:val="33"/>
        <w:tblW w:w="87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9"/>
        <w:gridCol w:w="3681"/>
      </w:tblGrid>
      <w:tr w14:paraId="7DC6010A">
        <w:trPr>
          <w:trHeight w:val="0" w:hRule="atLeast"/>
          <w:jc w:val="center"/>
        </w:trPr>
        <w:tc>
          <w:tcPr>
            <w:tcW w:w="5049" w:type="dxa"/>
            <w:tcMar>
              <w:top w:w="70" w:type="dxa"/>
              <w:left w:w="80" w:type="dxa"/>
              <w:bottom w:w="70" w:type="dxa"/>
              <w:right w:w="80" w:type="dxa"/>
            </w:tcMar>
            <w:vAlign w:val="center"/>
          </w:tcPr>
          <w:p w14:paraId="024C5D18">
            <w:pPr>
              <w:snapToGrid w:val="0"/>
              <w:spacing w:before="0" w:after="0" w:line="360" w:lineRule="exact"/>
              <w:jc w:val="both"/>
            </w:pPr>
            <w:r>
              <w:rPr>
                <w:rFonts w:ascii="Heiti SC" w:hAnsi="Heiti SC" w:eastAsia="Heiti SC"/>
                <w:b/>
                <w:color w:val="000000"/>
                <w:sz w:val="23"/>
              </w:rPr>
              <w:t>收益项目</w:t>
            </w:r>
          </w:p>
        </w:tc>
        <w:tc>
          <w:tcPr>
            <w:tcW w:w="3681" w:type="dxa"/>
            <w:tcMar>
              <w:top w:w="70" w:type="dxa"/>
              <w:left w:w="80" w:type="dxa"/>
              <w:bottom w:w="70" w:type="dxa"/>
              <w:right w:w="80" w:type="dxa"/>
            </w:tcMar>
            <w:vAlign w:val="center"/>
          </w:tcPr>
          <w:p w14:paraId="35B5F3EB">
            <w:pPr>
              <w:snapToGrid w:val="0"/>
              <w:spacing w:before="0" w:after="0" w:line="360" w:lineRule="exact"/>
              <w:jc w:val="both"/>
            </w:pPr>
            <w:r>
              <w:rPr>
                <w:rFonts w:ascii="Heiti SC" w:hAnsi="Heiti SC" w:eastAsia="Heiti SC"/>
                <w:b/>
                <w:color w:val="000000"/>
                <w:sz w:val="23"/>
              </w:rPr>
              <w:t>万元/年</w:t>
            </w:r>
          </w:p>
        </w:tc>
      </w:tr>
      <w:tr w14:paraId="71DD837C">
        <w:trPr>
          <w:trHeight w:val="0" w:hRule="atLeast"/>
          <w:jc w:val="center"/>
        </w:trPr>
        <w:tc>
          <w:tcPr>
            <w:tcW w:w="5049" w:type="dxa"/>
            <w:tcMar>
              <w:top w:w="70" w:type="dxa"/>
              <w:left w:w="80" w:type="dxa"/>
              <w:bottom w:w="70" w:type="dxa"/>
              <w:right w:w="80" w:type="dxa"/>
            </w:tcMar>
            <w:vAlign w:val="center"/>
          </w:tcPr>
          <w:p w14:paraId="08FE312E">
            <w:pPr>
              <w:snapToGrid w:val="0"/>
              <w:spacing w:before="0" w:after="0" w:line="360" w:lineRule="exact"/>
              <w:jc w:val="both"/>
            </w:pPr>
            <w:r>
              <w:rPr>
                <w:rFonts w:ascii="STFangsong" w:hAnsi="STFangsong" w:eastAsia="STFangsong"/>
                <w:b w:val="0"/>
                <w:color w:val="000000"/>
                <w:sz w:val="23"/>
              </w:rPr>
              <w:t>抵厂用电收益</w:t>
            </w:r>
          </w:p>
        </w:tc>
        <w:tc>
          <w:tcPr>
            <w:tcW w:w="3681" w:type="dxa"/>
            <w:tcMar>
              <w:top w:w="70" w:type="dxa"/>
              <w:left w:w="80" w:type="dxa"/>
              <w:bottom w:w="70" w:type="dxa"/>
              <w:right w:w="80" w:type="dxa"/>
            </w:tcMar>
            <w:vAlign w:val="center"/>
          </w:tcPr>
          <w:p w14:paraId="618E663A">
            <w:pPr>
              <w:snapToGrid w:val="0"/>
              <w:spacing w:before="0" w:after="0" w:line="360" w:lineRule="exact"/>
              <w:jc w:val="both"/>
            </w:pPr>
            <w:r>
              <w:rPr>
                <w:rFonts w:ascii="STFangsong" w:hAnsi="STFangsong" w:eastAsia="STFangsong"/>
                <w:b w:val="0"/>
                <w:color w:val="000000"/>
                <w:sz w:val="23"/>
              </w:rPr>
              <w:t>248.5</w:t>
            </w:r>
          </w:p>
        </w:tc>
      </w:tr>
      <w:tr w14:paraId="40B430CD">
        <w:trPr>
          <w:trHeight w:val="0" w:hRule="atLeast"/>
          <w:jc w:val="center"/>
        </w:trPr>
        <w:tc>
          <w:tcPr>
            <w:tcW w:w="5049" w:type="dxa"/>
            <w:tcMar>
              <w:top w:w="70" w:type="dxa"/>
              <w:left w:w="80" w:type="dxa"/>
              <w:bottom w:w="70" w:type="dxa"/>
              <w:right w:w="80" w:type="dxa"/>
            </w:tcMar>
            <w:vAlign w:val="center"/>
          </w:tcPr>
          <w:p w14:paraId="0BFD731B">
            <w:pPr>
              <w:snapToGrid w:val="0"/>
              <w:spacing w:before="0" w:after="0" w:line="360" w:lineRule="exact"/>
              <w:jc w:val="both"/>
            </w:pPr>
            <w:r>
              <w:rPr>
                <w:rFonts w:ascii="STFangsong" w:hAnsi="STFangsong" w:eastAsia="STFangsong"/>
                <w:b w:val="0"/>
                <w:color w:val="000000"/>
                <w:sz w:val="23"/>
              </w:rPr>
              <w:t>市场套利收益</w:t>
            </w:r>
          </w:p>
        </w:tc>
        <w:tc>
          <w:tcPr>
            <w:tcW w:w="3681" w:type="dxa"/>
            <w:tcMar>
              <w:top w:w="70" w:type="dxa"/>
              <w:left w:w="80" w:type="dxa"/>
              <w:bottom w:w="70" w:type="dxa"/>
              <w:right w:w="80" w:type="dxa"/>
            </w:tcMar>
            <w:vAlign w:val="center"/>
          </w:tcPr>
          <w:p w14:paraId="32C24AE3">
            <w:pPr>
              <w:snapToGrid w:val="0"/>
              <w:spacing w:before="0" w:after="0" w:line="360" w:lineRule="exact"/>
              <w:jc w:val="both"/>
            </w:pPr>
            <w:r>
              <w:rPr>
                <w:rFonts w:ascii="STFangsong" w:hAnsi="STFangsong" w:eastAsia="STFangsong"/>
                <w:b w:val="0"/>
                <w:color w:val="000000"/>
                <w:sz w:val="23"/>
              </w:rPr>
              <w:t>3,903.7</w:t>
            </w:r>
          </w:p>
        </w:tc>
      </w:tr>
      <w:tr w14:paraId="2A6FCA64">
        <w:trPr>
          <w:trHeight w:val="0" w:hRule="atLeast"/>
          <w:jc w:val="center"/>
        </w:trPr>
        <w:tc>
          <w:tcPr>
            <w:tcW w:w="5049" w:type="dxa"/>
            <w:tcMar>
              <w:top w:w="70" w:type="dxa"/>
              <w:left w:w="80" w:type="dxa"/>
              <w:bottom w:w="70" w:type="dxa"/>
              <w:right w:w="80" w:type="dxa"/>
            </w:tcMar>
            <w:vAlign w:val="center"/>
          </w:tcPr>
          <w:p w14:paraId="15C40107">
            <w:pPr>
              <w:snapToGrid w:val="0"/>
              <w:spacing w:before="0" w:after="0" w:line="360" w:lineRule="exact"/>
              <w:jc w:val="both"/>
            </w:pPr>
            <w:r>
              <w:rPr>
                <w:rFonts w:ascii="STFangsong" w:hAnsi="STFangsong" w:eastAsia="STFangsong"/>
                <w:b w:val="0"/>
                <w:color w:val="000000"/>
                <w:sz w:val="23"/>
              </w:rPr>
              <w:t>减：充电成本</w:t>
            </w:r>
          </w:p>
        </w:tc>
        <w:tc>
          <w:tcPr>
            <w:tcW w:w="3681" w:type="dxa"/>
            <w:tcMar>
              <w:top w:w="70" w:type="dxa"/>
              <w:left w:w="80" w:type="dxa"/>
              <w:bottom w:w="70" w:type="dxa"/>
              <w:right w:w="80" w:type="dxa"/>
            </w:tcMar>
            <w:vAlign w:val="center"/>
          </w:tcPr>
          <w:p w14:paraId="039B7932">
            <w:pPr>
              <w:snapToGrid w:val="0"/>
              <w:spacing w:before="0" w:after="0" w:line="360" w:lineRule="exact"/>
              <w:jc w:val="both"/>
            </w:pPr>
            <w:r>
              <w:rPr>
                <w:rFonts w:ascii="STFangsong" w:hAnsi="STFangsong" w:eastAsia="STFangsong"/>
                <w:b w:val="0"/>
                <w:color w:val="000000"/>
                <w:sz w:val="23"/>
              </w:rPr>
              <w:t>430.3</w:t>
            </w:r>
          </w:p>
        </w:tc>
      </w:tr>
      <w:tr w14:paraId="4D4F30C0">
        <w:trPr>
          <w:trHeight w:val="0" w:hRule="atLeast"/>
          <w:jc w:val="center"/>
        </w:trPr>
        <w:tc>
          <w:tcPr>
            <w:tcW w:w="5049" w:type="dxa"/>
            <w:tcMar>
              <w:top w:w="70" w:type="dxa"/>
              <w:left w:w="80" w:type="dxa"/>
              <w:bottom w:w="70" w:type="dxa"/>
              <w:right w:w="80" w:type="dxa"/>
            </w:tcMar>
            <w:vAlign w:val="center"/>
          </w:tcPr>
          <w:p w14:paraId="227DA797">
            <w:pPr>
              <w:snapToGrid w:val="0"/>
              <w:spacing w:before="0" w:after="0" w:line="360" w:lineRule="exact"/>
              <w:jc w:val="both"/>
            </w:pPr>
            <w:r>
              <w:rPr>
                <w:rFonts w:ascii="STFangsong" w:hAnsi="STFangsong" w:eastAsia="STFangsong"/>
                <w:b w:val="0"/>
                <w:color w:val="000000"/>
                <w:sz w:val="23"/>
              </w:rPr>
              <w:t>年经营净收益</w:t>
            </w:r>
          </w:p>
        </w:tc>
        <w:tc>
          <w:tcPr>
            <w:tcW w:w="3681" w:type="dxa"/>
            <w:tcMar>
              <w:top w:w="70" w:type="dxa"/>
              <w:left w:w="80" w:type="dxa"/>
              <w:bottom w:w="70" w:type="dxa"/>
              <w:right w:w="80" w:type="dxa"/>
            </w:tcMar>
            <w:vAlign w:val="center"/>
          </w:tcPr>
          <w:p w14:paraId="5051BEF5">
            <w:pPr>
              <w:snapToGrid w:val="0"/>
              <w:spacing w:before="0" w:after="0" w:line="360" w:lineRule="exact"/>
              <w:jc w:val="both"/>
            </w:pPr>
            <w:r>
              <w:rPr>
                <w:rFonts w:ascii="STFangsong" w:hAnsi="STFangsong" w:eastAsia="STFangsong"/>
                <w:b w:val="0"/>
                <w:color w:val="000000"/>
                <w:sz w:val="23"/>
              </w:rPr>
              <w:t>3,721.9</w:t>
            </w:r>
          </w:p>
        </w:tc>
      </w:tr>
      <w:tr w14:paraId="753616DD">
        <w:trPr>
          <w:trHeight w:val="0" w:hRule="atLeast"/>
          <w:jc w:val="center"/>
        </w:trPr>
        <w:tc>
          <w:tcPr>
            <w:tcW w:w="5049" w:type="dxa"/>
            <w:tcMar>
              <w:top w:w="70" w:type="dxa"/>
              <w:left w:w="80" w:type="dxa"/>
              <w:bottom w:w="70" w:type="dxa"/>
              <w:right w:w="80" w:type="dxa"/>
            </w:tcMar>
            <w:vAlign w:val="center"/>
          </w:tcPr>
          <w:p w14:paraId="47DC3FFA">
            <w:pPr>
              <w:snapToGrid w:val="0"/>
              <w:spacing w:before="0" w:after="0" w:line="360" w:lineRule="exact"/>
              <w:jc w:val="both"/>
            </w:pPr>
            <w:r>
              <w:rPr>
                <w:rFonts w:ascii="STFangsong" w:hAnsi="STFangsong" w:eastAsia="STFangsong"/>
                <w:b w:val="0"/>
                <w:color w:val="000000"/>
                <w:sz w:val="23"/>
              </w:rPr>
              <w:t>容量补偿</w:t>
            </w:r>
          </w:p>
        </w:tc>
        <w:tc>
          <w:tcPr>
            <w:tcW w:w="3681" w:type="dxa"/>
            <w:tcMar>
              <w:top w:w="70" w:type="dxa"/>
              <w:left w:w="80" w:type="dxa"/>
              <w:bottom w:w="70" w:type="dxa"/>
              <w:right w:w="80" w:type="dxa"/>
            </w:tcMar>
            <w:vAlign w:val="center"/>
          </w:tcPr>
          <w:p w14:paraId="47792658">
            <w:pPr>
              <w:snapToGrid w:val="0"/>
              <w:spacing w:before="0" w:after="0" w:line="360" w:lineRule="exact"/>
              <w:jc w:val="both"/>
            </w:pPr>
            <w:r>
              <w:rPr>
                <w:rFonts w:ascii="STFangsong" w:hAnsi="STFangsong" w:eastAsia="STFangsong"/>
                <w:b w:val="0"/>
                <w:color w:val="000000"/>
                <w:sz w:val="23"/>
              </w:rPr>
              <w:t>335.4</w:t>
            </w:r>
          </w:p>
        </w:tc>
      </w:tr>
      <w:tr w14:paraId="4D8F9A71">
        <w:trPr>
          <w:trHeight w:val="0" w:hRule="atLeast"/>
          <w:jc w:val="center"/>
        </w:trPr>
        <w:tc>
          <w:tcPr>
            <w:tcW w:w="5049" w:type="dxa"/>
            <w:tcMar>
              <w:top w:w="70" w:type="dxa"/>
              <w:left w:w="80" w:type="dxa"/>
              <w:bottom w:w="70" w:type="dxa"/>
              <w:right w:w="80" w:type="dxa"/>
            </w:tcMar>
            <w:vAlign w:val="center"/>
          </w:tcPr>
          <w:p w14:paraId="3E8EDF11">
            <w:pPr>
              <w:snapToGrid w:val="0"/>
              <w:spacing w:before="0" w:after="0" w:line="360" w:lineRule="exact"/>
              <w:jc w:val="both"/>
            </w:pPr>
            <w:r>
              <w:rPr>
                <w:rFonts w:ascii="STFangsong" w:hAnsi="STFangsong" w:eastAsia="STFangsong"/>
                <w:b w:val="0"/>
                <w:color w:val="000000"/>
                <w:sz w:val="23"/>
              </w:rPr>
              <w:t>首年总收入</w:t>
            </w:r>
          </w:p>
        </w:tc>
        <w:tc>
          <w:tcPr>
            <w:tcW w:w="3681" w:type="dxa"/>
            <w:tcMar>
              <w:top w:w="70" w:type="dxa"/>
              <w:left w:w="80" w:type="dxa"/>
              <w:bottom w:w="70" w:type="dxa"/>
              <w:right w:w="80" w:type="dxa"/>
            </w:tcMar>
            <w:vAlign w:val="center"/>
          </w:tcPr>
          <w:p w14:paraId="37EEE837">
            <w:pPr>
              <w:snapToGrid w:val="0"/>
              <w:spacing w:before="0" w:after="0" w:line="360" w:lineRule="exact"/>
              <w:jc w:val="both"/>
            </w:pPr>
            <w:r>
              <w:rPr>
                <w:rFonts w:ascii="STFangsong" w:hAnsi="STFangsong" w:eastAsia="STFangsong"/>
                <w:b w:val="0"/>
                <w:color w:val="000000"/>
                <w:sz w:val="23"/>
              </w:rPr>
              <w:t>4,057.3</w:t>
            </w:r>
          </w:p>
        </w:tc>
      </w:tr>
    </w:tbl>
    <w:p w14:paraId="3DDDCC12">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市场套利收入为3,903.7万元，抵厂用电收益为248.5万元，充电成本为430.3万元；扣除充电成本后的年经营净收益为3,721.9万元。叠加335.4万元容量补偿后，首年总收入为4,057.3万元。</w:t>
      </w:r>
    </w:p>
    <w:p w14:paraId="292E3FAC">
      <w:pPr>
        <w:keepNext/>
        <w:spacing w:before="80" w:after="0" w:line="240" w:lineRule="auto"/>
        <w:ind w:left="0" w:leftChars="0" w:firstLine="0" w:firstLineChars="0"/>
        <w:jc w:val="both"/>
      </w:pPr>
      <w:r>
        <w:drawing>
          <wp:inline distT="0" distB="0" distL="114300" distR="114300">
            <wp:extent cx="5486400" cy="2819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486400" cy="2819966"/>
                    </a:xfrm>
                    <a:prstGeom prst="rect">
                      <a:avLst/>
                    </a:prstGeom>
                  </pic:spPr>
                </pic:pic>
              </a:graphicData>
            </a:graphic>
          </wp:inline>
        </w:drawing>
      </w:r>
    </w:p>
    <w:p w14:paraId="433B59B2">
      <w:pPr>
        <w:spacing w:before="0" w:after="80" w:line="440" w:lineRule="exact"/>
        <w:ind w:left="0" w:leftChars="0" w:firstLine="0" w:firstLineChars="0"/>
        <w:jc w:val="center"/>
        <w:rPr>
          <w:rFonts w:hint="eastAsia" w:ascii="楷体_GB2312" w:hAnsi="楷体_GB2312" w:eastAsia="楷体_GB2312" w:cs="楷体_GB2312"/>
        </w:rPr>
      </w:pPr>
      <w:r>
        <w:rPr>
          <w:rFonts w:hint="eastAsia" w:ascii="楷体_GB2312" w:hAnsi="楷体_GB2312" w:eastAsia="楷体_GB2312" w:cs="楷体_GB2312"/>
          <w:b w:val="0"/>
          <w:color w:val="000000"/>
          <w:sz w:val="28"/>
        </w:rPr>
        <w:t>图4-1  首年收益构成</w:t>
      </w:r>
    </w:p>
    <w:p w14:paraId="52F11D4F">
      <w:pPr>
        <w:spacing w:before="0" w:after="0" w:line="579" w:lineRule="exact"/>
        <w:ind w:firstLine="640"/>
        <w:jc w:val="both"/>
      </w:pPr>
      <w:r>
        <w:rPr>
          <w:rFonts w:hint="eastAsia" w:ascii="仿宋_GB2312" w:hAnsi="仿宋_GB2312" w:eastAsia="仿宋_GB2312" w:cs="仿宋_GB2312"/>
          <w:b w:val="0"/>
          <w:color w:val="000000"/>
          <w:sz w:val="32"/>
        </w:rPr>
        <w:t>未配置储能时，按实际发电量和实时市场电价计算的项目电能收入为7,774.4万元，实时市场平均结算电价为139.90元/MWh。配储后按改变后的净上网曲线计算，实时市场平均结算电价为199.20元/MWh。叠加抵厂用电收益和容量补偿后，首年综合收入为11,831.7万元，综合平均结算电价为208.69元/MWh。储能首年增量收入4,057.3万元除以配储后项目整体上网电量566,959.7MWh，等效收益单价提升71.56元/MWh。</w:t>
      </w:r>
    </w:p>
    <w:p w14:paraId="0BD60425">
      <w:pPr>
        <w:pStyle w:val="3"/>
        <w:jc w:val="both"/>
        <w:rPr>
          <w:rFonts w:hint="eastAsia" w:ascii="黑体" w:hAnsi="黑体" w:eastAsia="黑体" w:cs="黑体"/>
        </w:rPr>
      </w:pPr>
      <w:r>
        <w:rPr>
          <w:rFonts w:hint="eastAsia" w:ascii="黑体" w:hAnsi="黑体" w:eastAsia="黑体" w:cs="黑体"/>
        </w:rPr>
        <w:t>五、投资估算与资金筹措</w:t>
      </w:r>
    </w:p>
    <w:tbl>
      <w:tblPr>
        <w:tblStyle w:val="33"/>
        <w:tblW w:w="87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7"/>
        <w:gridCol w:w="2249"/>
        <w:gridCol w:w="3244"/>
      </w:tblGrid>
      <w:tr w14:paraId="713B834A">
        <w:trPr>
          <w:trHeight w:val="0" w:hRule="atLeast"/>
          <w:tblHeader/>
          <w:jc w:val="center"/>
        </w:trPr>
        <w:tc>
          <w:tcPr>
            <w:tcW w:w="3237" w:type="dxa"/>
            <w:tcMar>
              <w:top w:w="70" w:type="dxa"/>
              <w:left w:w="80" w:type="dxa"/>
              <w:bottom w:w="70" w:type="dxa"/>
              <w:right w:w="80" w:type="dxa"/>
            </w:tcMar>
            <w:vAlign w:val="center"/>
          </w:tcPr>
          <w:p w14:paraId="75398131">
            <w:pPr>
              <w:snapToGrid w:val="0"/>
              <w:spacing w:before="0" w:after="0" w:line="240" w:lineRule="auto"/>
              <w:ind w:left="0" w:leftChars="0" w:right="0" w:rightChars="0" w:firstLine="0" w:firstLineChars="0"/>
              <w:jc w:val="center"/>
              <w:rPr>
                <w:rFonts w:ascii="Heiti SC" w:eastAsia="Heiti SC"/>
                <w:b/>
                <w:sz w:val="23"/>
              </w:rPr>
            </w:pPr>
            <w:r>
              <w:rPr>
                <w:rFonts w:ascii="Heiti SC" w:hAnsi="Heiti SC" w:eastAsia="Heiti SC"/>
                <w:b/>
                <w:color w:val="000000"/>
                <w:sz w:val="23"/>
              </w:rPr>
              <w:t>投资构成</w:t>
            </w:r>
          </w:p>
        </w:tc>
        <w:tc>
          <w:tcPr>
            <w:tcW w:w="2249" w:type="dxa"/>
            <w:tcMar>
              <w:top w:w="70" w:type="dxa"/>
              <w:left w:w="80" w:type="dxa"/>
              <w:bottom w:w="70" w:type="dxa"/>
              <w:right w:w="80" w:type="dxa"/>
            </w:tcMar>
            <w:vAlign w:val="center"/>
          </w:tcPr>
          <w:p w14:paraId="71499556">
            <w:pPr>
              <w:snapToGrid w:val="0"/>
              <w:spacing w:before="0" w:after="0" w:line="240" w:lineRule="auto"/>
              <w:ind w:left="0" w:leftChars="0" w:right="0" w:rightChars="0" w:firstLine="0" w:firstLineChars="0"/>
              <w:jc w:val="center"/>
              <w:rPr>
                <w:rFonts w:ascii="Heiti SC" w:eastAsia="Heiti SC"/>
                <w:b/>
                <w:sz w:val="23"/>
              </w:rPr>
            </w:pPr>
            <w:r>
              <w:rPr>
                <w:rFonts w:ascii="Heiti SC" w:hAnsi="Heiti SC" w:eastAsia="Heiti SC"/>
                <w:b/>
                <w:color w:val="000000"/>
                <w:sz w:val="23"/>
              </w:rPr>
              <w:t>万元</w:t>
            </w:r>
          </w:p>
        </w:tc>
        <w:tc>
          <w:tcPr>
            <w:tcW w:w="3244" w:type="dxa"/>
            <w:tcMar>
              <w:top w:w="70" w:type="dxa"/>
              <w:left w:w="80" w:type="dxa"/>
              <w:bottom w:w="70" w:type="dxa"/>
              <w:right w:w="80" w:type="dxa"/>
            </w:tcMar>
            <w:vAlign w:val="center"/>
          </w:tcPr>
          <w:p w14:paraId="4FD439E8">
            <w:pPr>
              <w:snapToGrid w:val="0"/>
              <w:spacing w:before="0" w:after="0" w:line="240" w:lineRule="auto"/>
              <w:ind w:left="0" w:leftChars="0" w:right="0" w:rightChars="0" w:firstLine="0" w:firstLineChars="0"/>
              <w:jc w:val="center"/>
              <w:rPr>
                <w:rFonts w:ascii="Heiti SC" w:eastAsia="Heiti SC"/>
                <w:b/>
                <w:sz w:val="23"/>
              </w:rPr>
            </w:pPr>
            <w:r>
              <w:rPr>
                <w:rFonts w:ascii="Heiti SC" w:hAnsi="Heiti SC" w:eastAsia="Heiti SC"/>
                <w:b/>
                <w:color w:val="000000"/>
                <w:sz w:val="23"/>
              </w:rPr>
              <w:t>占初始投资</w:t>
            </w:r>
          </w:p>
        </w:tc>
      </w:tr>
      <w:tr w14:paraId="7EDA30C1">
        <w:trPr>
          <w:trHeight w:val="0" w:hRule="atLeast"/>
          <w:jc w:val="center"/>
        </w:trPr>
        <w:tc>
          <w:tcPr>
            <w:tcW w:w="3237" w:type="dxa"/>
            <w:tcMar>
              <w:top w:w="70" w:type="dxa"/>
              <w:left w:w="80" w:type="dxa"/>
              <w:bottom w:w="70" w:type="dxa"/>
              <w:right w:w="80" w:type="dxa"/>
            </w:tcMar>
            <w:vAlign w:val="center"/>
          </w:tcPr>
          <w:p w14:paraId="4D649DD0">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电池系统</w:t>
            </w:r>
          </w:p>
        </w:tc>
        <w:tc>
          <w:tcPr>
            <w:tcW w:w="2249" w:type="dxa"/>
            <w:tcMar>
              <w:top w:w="70" w:type="dxa"/>
              <w:left w:w="80" w:type="dxa"/>
              <w:bottom w:w="70" w:type="dxa"/>
              <w:right w:w="80" w:type="dxa"/>
            </w:tcMar>
            <w:vAlign w:val="center"/>
          </w:tcPr>
          <w:p w14:paraId="6B1314D2">
            <w:pPr>
              <w:snapToGrid w:val="0"/>
              <w:spacing w:before="0" w:after="0" w:line="240" w:lineRule="auto"/>
              <w:ind w:left="0" w:leftChars="0" w:right="0" w:rightChars="0" w:firstLine="0" w:firstLineChars="0"/>
              <w:jc w:val="right"/>
              <w:rPr>
                <w:rFonts w:ascii="STFangsong" w:eastAsia="STFangsong"/>
                <w:sz w:val="23"/>
              </w:rPr>
            </w:pPr>
            <w:r>
              <w:rPr>
                <w:rFonts w:ascii="STFangsong" w:hAnsi="STFangsong" w:eastAsia="STFangsong"/>
                <w:b w:val="0"/>
                <w:color w:val="000000"/>
                <w:sz w:val="23"/>
              </w:rPr>
              <w:t>20,000.0</w:t>
            </w:r>
          </w:p>
        </w:tc>
        <w:tc>
          <w:tcPr>
            <w:tcW w:w="3244" w:type="dxa"/>
            <w:tcMar>
              <w:top w:w="70" w:type="dxa"/>
              <w:left w:w="80" w:type="dxa"/>
              <w:bottom w:w="70" w:type="dxa"/>
              <w:right w:w="80" w:type="dxa"/>
            </w:tcMar>
            <w:vAlign w:val="center"/>
          </w:tcPr>
          <w:p w14:paraId="1679D0C9">
            <w:pPr>
              <w:snapToGrid w:val="0"/>
              <w:spacing w:before="0" w:after="0" w:line="240" w:lineRule="auto"/>
              <w:ind w:left="0" w:leftChars="0" w:right="0" w:rightChars="0" w:firstLine="0" w:firstLineChars="0"/>
              <w:jc w:val="center"/>
              <w:rPr>
                <w:rFonts w:ascii="STFangsong" w:eastAsia="STFangsong"/>
                <w:sz w:val="23"/>
              </w:rPr>
            </w:pPr>
            <w:r>
              <w:rPr>
                <w:rFonts w:ascii="STFangsong" w:hAnsi="STFangsong" w:eastAsia="STFangsong"/>
                <w:b w:val="0"/>
                <w:color w:val="000000"/>
                <w:sz w:val="23"/>
              </w:rPr>
              <w:t>76.6%</w:t>
            </w:r>
          </w:p>
        </w:tc>
      </w:tr>
      <w:tr w14:paraId="2511A502">
        <w:trPr>
          <w:trHeight w:val="0" w:hRule="atLeast"/>
          <w:jc w:val="center"/>
        </w:trPr>
        <w:tc>
          <w:tcPr>
            <w:tcW w:w="3237" w:type="dxa"/>
            <w:tcMar>
              <w:top w:w="70" w:type="dxa"/>
              <w:left w:w="80" w:type="dxa"/>
              <w:bottom w:w="70" w:type="dxa"/>
              <w:right w:w="80" w:type="dxa"/>
            </w:tcMar>
            <w:vAlign w:val="center"/>
          </w:tcPr>
          <w:p w14:paraId="43C9ED03">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土地</w:t>
            </w:r>
          </w:p>
        </w:tc>
        <w:tc>
          <w:tcPr>
            <w:tcW w:w="2249" w:type="dxa"/>
            <w:tcMar>
              <w:top w:w="70" w:type="dxa"/>
              <w:left w:w="80" w:type="dxa"/>
              <w:bottom w:w="70" w:type="dxa"/>
              <w:right w:w="80" w:type="dxa"/>
            </w:tcMar>
            <w:vAlign w:val="center"/>
          </w:tcPr>
          <w:p w14:paraId="770A810D">
            <w:pPr>
              <w:snapToGrid w:val="0"/>
              <w:spacing w:before="0" w:after="0" w:line="240" w:lineRule="auto"/>
              <w:ind w:left="0" w:leftChars="0" w:right="0" w:rightChars="0" w:firstLine="0" w:firstLineChars="0"/>
              <w:jc w:val="right"/>
              <w:rPr>
                <w:rFonts w:ascii="STFangsong" w:eastAsia="STFangsong"/>
                <w:sz w:val="23"/>
              </w:rPr>
            </w:pPr>
            <w:r>
              <w:rPr>
                <w:rFonts w:ascii="STFangsong" w:hAnsi="STFangsong" w:eastAsia="STFangsong"/>
                <w:b w:val="0"/>
                <w:color w:val="000000"/>
                <w:sz w:val="23"/>
              </w:rPr>
              <w:t>1,400.0</w:t>
            </w:r>
          </w:p>
        </w:tc>
        <w:tc>
          <w:tcPr>
            <w:tcW w:w="3244" w:type="dxa"/>
            <w:tcMar>
              <w:top w:w="70" w:type="dxa"/>
              <w:left w:w="80" w:type="dxa"/>
              <w:bottom w:w="70" w:type="dxa"/>
              <w:right w:w="80" w:type="dxa"/>
            </w:tcMar>
            <w:vAlign w:val="center"/>
          </w:tcPr>
          <w:p w14:paraId="59E124E2">
            <w:pPr>
              <w:snapToGrid w:val="0"/>
              <w:spacing w:before="0" w:after="0" w:line="240" w:lineRule="auto"/>
              <w:ind w:left="0" w:leftChars="0" w:right="0" w:rightChars="0" w:firstLine="0" w:firstLineChars="0"/>
              <w:jc w:val="center"/>
              <w:rPr>
                <w:rFonts w:ascii="STFangsong" w:eastAsia="STFangsong"/>
                <w:sz w:val="23"/>
              </w:rPr>
            </w:pPr>
            <w:r>
              <w:rPr>
                <w:rFonts w:ascii="STFangsong" w:hAnsi="STFangsong" w:eastAsia="STFangsong"/>
                <w:b w:val="0"/>
                <w:color w:val="000000"/>
                <w:sz w:val="23"/>
              </w:rPr>
              <w:t>5.4%</w:t>
            </w:r>
          </w:p>
        </w:tc>
      </w:tr>
      <w:tr w14:paraId="4775FFEB">
        <w:trPr>
          <w:trHeight w:val="0" w:hRule="atLeast"/>
          <w:jc w:val="center"/>
        </w:trPr>
        <w:tc>
          <w:tcPr>
            <w:tcW w:w="3237" w:type="dxa"/>
            <w:tcMar>
              <w:top w:w="70" w:type="dxa"/>
              <w:left w:w="80" w:type="dxa"/>
              <w:bottom w:w="70" w:type="dxa"/>
              <w:right w:w="80" w:type="dxa"/>
            </w:tcMar>
            <w:vAlign w:val="center"/>
          </w:tcPr>
          <w:p w14:paraId="74561571">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PCS</w:t>
            </w:r>
          </w:p>
        </w:tc>
        <w:tc>
          <w:tcPr>
            <w:tcW w:w="2249" w:type="dxa"/>
            <w:tcMar>
              <w:top w:w="70" w:type="dxa"/>
              <w:left w:w="80" w:type="dxa"/>
              <w:bottom w:w="70" w:type="dxa"/>
              <w:right w:w="80" w:type="dxa"/>
            </w:tcMar>
            <w:vAlign w:val="center"/>
          </w:tcPr>
          <w:p w14:paraId="5A3D2C09">
            <w:pPr>
              <w:snapToGrid w:val="0"/>
              <w:spacing w:before="0" w:after="0" w:line="240" w:lineRule="auto"/>
              <w:ind w:left="0" w:leftChars="0" w:right="0" w:rightChars="0" w:firstLine="0" w:firstLineChars="0"/>
              <w:jc w:val="right"/>
              <w:rPr>
                <w:rFonts w:ascii="STFangsong" w:eastAsia="STFangsong"/>
                <w:sz w:val="23"/>
              </w:rPr>
            </w:pPr>
            <w:r>
              <w:rPr>
                <w:rFonts w:ascii="STFangsong" w:hAnsi="STFangsong" w:eastAsia="STFangsong"/>
                <w:b w:val="0"/>
                <w:color w:val="000000"/>
                <w:sz w:val="23"/>
              </w:rPr>
              <w:t>2,700.0</w:t>
            </w:r>
          </w:p>
        </w:tc>
        <w:tc>
          <w:tcPr>
            <w:tcW w:w="3244" w:type="dxa"/>
            <w:tcMar>
              <w:top w:w="70" w:type="dxa"/>
              <w:left w:w="80" w:type="dxa"/>
              <w:bottom w:w="70" w:type="dxa"/>
              <w:right w:w="80" w:type="dxa"/>
            </w:tcMar>
            <w:vAlign w:val="center"/>
          </w:tcPr>
          <w:p w14:paraId="192790A2">
            <w:pPr>
              <w:snapToGrid w:val="0"/>
              <w:spacing w:before="0" w:after="0" w:line="240" w:lineRule="auto"/>
              <w:ind w:left="0" w:leftChars="0" w:right="0" w:rightChars="0" w:firstLine="0" w:firstLineChars="0"/>
              <w:jc w:val="center"/>
              <w:rPr>
                <w:rFonts w:ascii="STFangsong" w:eastAsia="STFangsong"/>
                <w:sz w:val="23"/>
              </w:rPr>
            </w:pPr>
            <w:r>
              <w:rPr>
                <w:rFonts w:ascii="STFangsong" w:hAnsi="STFangsong" w:eastAsia="STFangsong"/>
                <w:b w:val="0"/>
                <w:color w:val="000000"/>
                <w:sz w:val="23"/>
              </w:rPr>
              <w:t>10.3%</w:t>
            </w:r>
          </w:p>
        </w:tc>
      </w:tr>
      <w:tr w14:paraId="61E46000">
        <w:trPr>
          <w:trHeight w:val="0" w:hRule="atLeast"/>
          <w:jc w:val="center"/>
        </w:trPr>
        <w:tc>
          <w:tcPr>
            <w:tcW w:w="3237" w:type="dxa"/>
            <w:tcMar>
              <w:top w:w="70" w:type="dxa"/>
              <w:left w:w="80" w:type="dxa"/>
              <w:bottom w:w="70" w:type="dxa"/>
              <w:right w:w="80" w:type="dxa"/>
            </w:tcMar>
            <w:vAlign w:val="center"/>
          </w:tcPr>
          <w:p w14:paraId="4530D761">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其他</w:t>
            </w:r>
          </w:p>
        </w:tc>
        <w:tc>
          <w:tcPr>
            <w:tcW w:w="2249" w:type="dxa"/>
            <w:tcMar>
              <w:top w:w="70" w:type="dxa"/>
              <w:left w:w="80" w:type="dxa"/>
              <w:bottom w:w="70" w:type="dxa"/>
              <w:right w:w="80" w:type="dxa"/>
            </w:tcMar>
            <w:vAlign w:val="center"/>
          </w:tcPr>
          <w:p w14:paraId="0D85ACEE">
            <w:pPr>
              <w:snapToGrid w:val="0"/>
              <w:spacing w:before="0" w:after="0" w:line="240" w:lineRule="auto"/>
              <w:ind w:left="0" w:leftChars="0" w:right="0" w:rightChars="0" w:firstLine="0" w:firstLineChars="0"/>
              <w:jc w:val="right"/>
              <w:rPr>
                <w:rFonts w:ascii="STFangsong" w:eastAsia="STFangsong"/>
                <w:sz w:val="23"/>
              </w:rPr>
            </w:pPr>
            <w:r>
              <w:rPr>
                <w:rFonts w:ascii="STFangsong" w:hAnsi="STFangsong" w:eastAsia="STFangsong"/>
                <w:b w:val="0"/>
                <w:color w:val="000000"/>
                <w:sz w:val="23"/>
              </w:rPr>
              <w:t>2,000.0</w:t>
            </w:r>
          </w:p>
        </w:tc>
        <w:tc>
          <w:tcPr>
            <w:tcW w:w="3244" w:type="dxa"/>
            <w:tcMar>
              <w:top w:w="70" w:type="dxa"/>
              <w:left w:w="80" w:type="dxa"/>
              <w:bottom w:w="70" w:type="dxa"/>
              <w:right w:w="80" w:type="dxa"/>
            </w:tcMar>
            <w:vAlign w:val="center"/>
          </w:tcPr>
          <w:p w14:paraId="0D9B12C3">
            <w:pPr>
              <w:snapToGrid w:val="0"/>
              <w:spacing w:before="0" w:after="0" w:line="240" w:lineRule="auto"/>
              <w:ind w:left="0" w:leftChars="0" w:right="0" w:rightChars="0" w:firstLine="0" w:firstLineChars="0"/>
              <w:jc w:val="center"/>
              <w:rPr>
                <w:rFonts w:ascii="STFangsong" w:eastAsia="STFangsong"/>
                <w:sz w:val="23"/>
              </w:rPr>
            </w:pPr>
            <w:r>
              <w:rPr>
                <w:rFonts w:ascii="STFangsong" w:hAnsi="STFangsong" w:eastAsia="STFangsong"/>
                <w:b w:val="0"/>
                <w:color w:val="000000"/>
                <w:sz w:val="23"/>
              </w:rPr>
              <w:t>7.7%</w:t>
            </w:r>
          </w:p>
        </w:tc>
      </w:tr>
      <w:tr w14:paraId="34155F07">
        <w:trPr>
          <w:trHeight w:val="0" w:hRule="atLeast"/>
          <w:jc w:val="center"/>
        </w:trPr>
        <w:tc>
          <w:tcPr>
            <w:tcW w:w="3237" w:type="dxa"/>
            <w:tcMar>
              <w:top w:w="70" w:type="dxa"/>
              <w:left w:w="80" w:type="dxa"/>
              <w:bottom w:w="70" w:type="dxa"/>
              <w:right w:w="80" w:type="dxa"/>
            </w:tcMar>
            <w:vAlign w:val="center"/>
          </w:tcPr>
          <w:p w14:paraId="645C48B0">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初始总投资</w:t>
            </w:r>
          </w:p>
        </w:tc>
        <w:tc>
          <w:tcPr>
            <w:tcW w:w="2249" w:type="dxa"/>
            <w:tcMar>
              <w:top w:w="70" w:type="dxa"/>
              <w:left w:w="80" w:type="dxa"/>
              <w:bottom w:w="70" w:type="dxa"/>
              <w:right w:w="80" w:type="dxa"/>
            </w:tcMar>
            <w:vAlign w:val="center"/>
          </w:tcPr>
          <w:p w14:paraId="1D026E47">
            <w:pPr>
              <w:snapToGrid w:val="0"/>
              <w:spacing w:before="0" w:after="0" w:line="240" w:lineRule="auto"/>
              <w:ind w:left="0" w:leftChars="0" w:right="0" w:rightChars="0" w:firstLine="0" w:firstLineChars="0"/>
              <w:jc w:val="right"/>
              <w:rPr>
                <w:rFonts w:ascii="STFangsong" w:eastAsia="STFangsong"/>
                <w:sz w:val="23"/>
              </w:rPr>
            </w:pPr>
            <w:r>
              <w:rPr>
                <w:rFonts w:ascii="STFangsong" w:hAnsi="STFangsong" w:eastAsia="STFangsong"/>
                <w:b w:val="0"/>
                <w:color w:val="000000"/>
                <w:sz w:val="23"/>
              </w:rPr>
              <w:t>26,100.0</w:t>
            </w:r>
          </w:p>
        </w:tc>
        <w:tc>
          <w:tcPr>
            <w:tcW w:w="3244" w:type="dxa"/>
            <w:tcMar>
              <w:top w:w="70" w:type="dxa"/>
              <w:left w:w="80" w:type="dxa"/>
              <w:bottom w:w="70" w:type="dxa"/>
              <w:right w:w="80" w:type="dxa"/>
            </w:tcMar>
            <w:vAlign w:val="center"/>
          </w:tcPr>
          <w:p w14:paraId="337156DA">
            <w:pPr>
              <w:snapToGrid w:val="0"/>
              <w:spacing w:before="0" w:after="0" w:line="240" w:lineRule="auto"/>
              <w:ind w:left="0" w:leftChars="0" w:right="0" w:rightChars="0" w:firstLine="0" w:firstLineChars="0"/>
              <w:jc w:val="center"/>
              <w:rPr>
                <w:rFonts w:ascii="STFangsong" w:eastAsia="STFangsong"/>
                <w:sz w:val="23"/>
              </w:rPr>
            </w:pPr>
            <w:r>
              <w:rPr>
                <w:rFonts w:ascii="STFangsong" w:hAnsi="STFangsong" w:eastAsia="STFangsong"/>
                <w:b w:val="0"/>
                <w:color w:val="000000"/>
                <w:sz w:val="23"/>
              </w:rPr>
              <w:t>100.0%</w:t>
            </w:r>
          </w:p>
        </w:tc>
      </w:tr>
    </w:tbl>
    <w:p w14:paraId="0FF65CE2">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初始总投资为26,100.0万元，其中电池系统投资20,000.0万元，占76.6%；土地、PCS及其他投资合计6,100.0万元。第10年电池更换投资为20,000.0万元，相当于初始总投资的76.6%。</w:t>
      </w:r>
    </w:p>
    <w:p w14:paraId="798A1C4D">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初始投资按资本金30%、贷款70%测算，初始资本金为7,830.0万元，贷款为18,270.0万元，贷款利率3%，期限15年。第10年更换电池采用相同比例，更换贷款期限7年。年生产费用按初始投资1%计，为261.0万元。</w:t>
      </w:r>
    </w:p>
    <w:p w14:paraId="1F172E67">
      <w:pPr>
        <w:pStyle w:val="3"/>
        <w:jc w:val="both"/>
        <w:rPr>
          <w:rFonts w:hint="eastAsia" w:ascii="黑体" w:hAnsi="黑体" w:eastAsia="黑体" w:cs="黑体"/>
        </w:rPr>
      </w:pPr>
      <w:r>
        <w:rPr>
          <w:rFonts w:hint="eastAsia" w:ascii="黑体" w:hAnsi="黑体" w:eastAsia="黑体" w:cs="黑体"/>
        </w:rPr>
        <w:t>六、财务评价</w:t>
      </w:r>
    </w:p>
    <w:tbl>
      <w:tblPr>
        <w:tblStyle w:val="33"/>
        <w:tblW w:w="87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9"/>
        <w:gridCol w:w="2635"/>
        <w:gridCol w:w="2636"/>
      </w:tblGrid>
      <w:tr w14:paraId="3EF406F7">
        <w:trPr>
          <w:trHeight w:val="0" w:hRule="atLeast"/>
          <w:tblHeader/>
          <w:jc w:val="center"/>
        </w:trPr>
        <w:tc>
          <w:tcPr>
            <w:tcW w:w="3459" w:type="dxa"/>
            <w:tcMar>
              <w:top w:w="70" w:type="dxa"/>
              <w:left w:w="80" w:type="dxa"/>
              <w:bottom w:w="70" w:type="dxa"/>
              <w:right w:w="80" w:type="dxa"/>
            </w:tcMar>
            <w:vAlign w:val="center"/>
          </w:tcPr>
          <w:p w14:paraId="506E5BA1">
            <w:pPr>
              <w:snapToGrid w:val="0"/>
              <w:spacing w:before="0" w:after="0" w:line="240" w:lineRule="auto"/>
              <w:ind w:left="0" w:leftChars="0" w:right="0" w:rightChars="0" w:firstLine="0" w:firstLineChars="0"/>
              <w:jc w:val="center"/>
              <w:rPr>
                <w:rFonts w:ascii="Heiti SC" w:eastAsia="Heiti SC"/>
                <w:b/>
                <w:sz w:val="23"/>
              </w:rPr>
            </w:pPr>
            <w:r>
              <w:rPr>
                <w:rFonts w:ascii="Heiti SC" w:hAnsi="Heiti SC" w:eastAsia="Heiti SC"/>
                <w:b/>
                <w:color w:val="000000"/>
                <w:sz w:val="23"/>
              </w:rPr>
              <w:t>指标</w:t>
            </w:r>
          </w:p>
        </w:tc>
        <w:tc>
          <w:tcPr>
            <w:tcW w:w="2635" w:type="dxa"/>
            <w:tcMar>
              <w:top w:w="70" w:type="dxa"/>
              <w:left w:w="80" w:type="dxa"/>
              <w:bottom w:w="70" w:type="dxa"/>
              <w:right w:w="80" w:type="dxa"/>
            </w:tcMar>
            <w:vAlign w:val="center"/>
          </w:tcPr>
          <w:p w14:paraId="256F5DF0">
            <w:pPr>
              <w:snapToGrid w:val="0"/>
              <w:spacing w:before="0" w:after="0" w:line="240" w:lineRule="auto"/>
              <w:ind w:left="0" w:leftChars="0" w:right="0" w:rightChars="0" w:firstLine="0" w:firstLineChars="0"/>
              <w:jc w:val="center"/>
              <w:rPr>
                <w:rFonts w:ascii="Heiti SC" w:eastAsia="Heiti SC"/>
                <w:b/>
                <w:sz w:val="23"/>
              </w:rPr>
            </w:pPr>
            <w:r>
              <w:rPr>
                <w:rFonts w:ascii="Heiti SC" w:hAnsi="Heiti SC" w:eastAsia="Heiti SC"/>
                <w:b/>
                <w:color w:val="000000"/>
                <w:sz w:val="23"/>
              </w:rPr>
              <w:t>全投资口径</w:t>
            </w:r>
          </w:p>
        </w:tc>
        <w:tc>
          <w:tcPr>
            <w:tcW w:w="2635" w:type="dxa"/>
            <w:tcMar>
              <w:top w:w="70" w:type="dxa"/>
              <w:left w:w="80" w:type="dxa"/>
              <w:bottom w:w="70" w:type="dxa"/>
              <w:right w:w="80" w:type="dxa"/>
            </w:tcMar>
            <w:vAlign w:val="center"/>
          </w:tcPr>
          <w:p w14:paraId="4B3337DF">
            <w:pPr>
              <w:snapToGrid w:val="0"/>
              <w:spacing w:before="0" w:after="0" w:line="240" w:lineRule="auto"/>
              <w:ind w:left="0" w:leftChars="0" w:right="0" w:rightChars="0" w:firstLine="0" w:firstLineChars="0"/>
              <w:jc w:val="center"/>
              <w:rPr>
                <w:rFonts w:ascii="Heiti SC" w:eastAsia="Heiti SC"/>
                <w:b/>
                <w:sz w:val="23"/>
              </w:rPr>
            </w:pPr>
            <w:r>
              <w:rPr>
                <w:rFonts w:ascii="Heiti SC" w:hAnsi="Heiti SC" w:eastAsia="Heiti SC"/>
                <w:b/>
                <w:color w:val="000000"/>
                <w:sz w:val="23"/>
              </w:rPr>
              <w:t>资本金口径</w:t>
            </w:r>
          </w:p>
        </w:tc>
      </w:tr>
      <w:tr w14:paraId="09ACE38C">
        <w:trPr>
          <w:trHeight w:val="0" w:hRule="atLeast"/>
          <w:jc w:val="center"/>
        </w:trPr>
        <w:tc>
          <w:tcPr>
            <w:tcW w:w="3459" w:type="dxa"/>
            <w:tcMar>
              <w:top w:w="70" w:type="dxa"/>
              <w:left w:w="80" w:type="dxa"/>
              <w:bottom w:w="70" w:type="dxa"/>
              <w:right w:w="80" w:type="dxa"/>
            </w:tcMar>
            <w:vAlign w:val="center"/>
          </w:tcPr>
          <w:p w14:paraId="4BD58C01">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净现值NPV</w:t>
            </w:r>
          </w:p>
        </w:tc>
        <w:tc>
          <w:tcPr>
            <w:tcW w:w="2635" w:type="dxa"/>
            <w:tcMar>
              <w:top w:w="70" w:type="dxa"/>
              <w:left w:w="80" w:type="dxa"/>
              <w:bottom w:w="70" w:type="dxa"/>
              <w:right w:w="80" w:type="dxa"/>
            </w:tcMar>
            <w:vAlign w:val="center"/>
          </w:tcPr>
          <w:p w14:paraId="5F069EEE">
            <w:pPr>
              <w:snapToGrid w:val="0"/>
              <w:spacing w:before="0" w:after="0" w:line="240" w:lineRule="auto"/>
              <w:ind w:left="0" w:leftChars="0" w:right="0" w:rightChars="0" w:firstLine="0" w:firstLineChars="0"/>
              <w:jc w:val="right"/>
              <w:rPr>
                <w:rFonts w:ascii="STFangsong" w:eastAsia="STFangsong"/>
                <w:sz w:val="23"/>
              </w:rPr>
            </w:pPr>
            <w:r>
              <w:rPr>
                <w:rFonts w:ascii="STFangsong" w:hAnsi="STFangsong" w:eastAsia="STFangsong"/>
                <w:b w:val="0"/>
                <w:color w:val="000000"/>
                <w:sz w:val="23"/>
              </w:rPr>
              <w:t>3,521.0万元</w:t>
            </w:r>
          </w:p>
        </w:tc>
        <w:tc>
          <w:tcPr>
            <w:tcW w:w="2635" w:type="dxa"/>
            <w:tcMar>
              <w:top w:w="70" w:type="dxa"/>
              <w:left w:w="80" w:type="dxa"/>
              <w:bottom w:w="70" w:type="dxa"/>
              <w:right w:w="80" w:type="dxa"/>
            </w:tcMar>
            <w:vAlign w:val="center"/>
          </w:tcPr>
          <w:p w14:paraId="527B7C8D">
            <w:pPr>
              <w:snapToGrid w:val="0"/>
              <w:spacing w:before="0" w:after="0" w:line="240" w:lineRule="auto"/>
              <w:ind w:left="0" w:leftChars="0" w:right="0" w:rightChars="0" w:firstLine="0" w:firstLineChars="0"/>
              <w:jc w:val="right"/>
              <w:rPr>
                <w:rFonts w:ascii="STFangsong" w:eastAsia="STFangsong"/>
                <w:sz w:val="23"/>
              </w:rPr>
            </w:pPr>
            <w:r>
              <w:rPr>
                <w:rFonts w:ascii="STFangsong" w:hAnsi="STFangsong" w:eastAsia="STFangsong"/>
                <w:b w:val="0"/>
                <w:color w:val="000000"/>
                <w:sz w:val="23"/>
              </w:rPr>
              <w:t>3,106.5万元</w:t>
            </w:r>
          </w:p>
        </w:tc>
      </w:tr>
      <w:tr w14:paraId="471E9DE0">
        <w:trPr>
          <w:trHeight w:val="0" w:hRule="atLeast"/>
          <w:jc w:val="center"/>
        </w:trPr>
        <w:tc>
          <w:tcPr>
            <w:tcW w:w="3459" w:type="dxa"/>
            <w:tcMar>
              <w:top w:w="70" w:type="dxa"/>
              <w:left w:w="80" w:type="dxa"/>
              <w:bottom w:w="70" w:type="dxa"/>
              <w:right w:w="80" w:type="dxa"/>
            </w:tcMar>
            <w:vAlign w:val="center"/>
          </w:tcPr>
          <w:p w14:paraId="0D768AAA">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内部收益率IRR</w:t>
            </w:r>
          </w:p>
        </w:tc>
        <w:tc>
          <w:tcPr>
            <w:tcW w:w="2635" w:type="dxa"/>
            <w:tcMar>
              <w:top w:w="70" w:type="dxa"/>
              <w:left w:w="80" w:type="dxa"/>
              <w:bottom w:w="70" w:type="dxa"/>
              <w:right w:w="80" w:type="dxa"/>
            </w:tcMar>
            <w:vAlign w:val="center"/>
          </w:tcPr>
          <w:p w14:paraId="08932917">
            <w:pPr>
              <w:snapToGrid w:val="0"/>
              <w:spacing w:before="0" w:after="0" w:line="240" w:lineRule="auto"/>
              <w:ind w:left="0" w:leftChars="0" w:right="0" w:rightChars="0" w:firstLine="0" w:firstLineChars="0"/>
              <w:jc w:val="right"/>
              <w:rPr>
                <w:rFonts w:ascii="STFangsong" w:eastAsia="STFangsong"/>
                <w:sz w:val="23"/>
              </w:rPr>
            </w:pPr>
            <w:r>
              <w:rPr>
                <w:rFonts w:ascii="STFangsong" w:hAnsi="STFangsong" w:eastAsia="STFangsong"/>
                <w:b w:val="0"/>
                <w:color w:val="000000"/>
                <w:sz w:val="23"/>
              </w:rPr>
              <w:t>5.58%</w:t>
            </w:r>
          </w:p>
        </w:tc>
        <w:tc>
          <w:tcPr>
            <w:tcW w:w="2635" w:type="dxa"/>
            <w:tcMar>
              <w:top w:w="70" w:type="dxa"/>
              <w:left w:w="80" w:type="dxa"/>
              <w:bottom w:w="70" w:type="dxa"/>
              <w:right w:w="80" w:type="dxa"/>
            </w:tcMar>
            <w:vAlign w:val="center"/>
          </w:tcPr>
          <w:p w14:paraId="2D0A302F">
            <w:pPr>
              <w:snapToGrid w:val="0"/>
              <w:spacing w:before="0" w:after="0" w:line="240" w:lineRule="auto"/>
              <w:ind w:left="0" w:leftChars="0" w:right="0" w:rightChars="0" w:firstLine="0" w:firstLineChars="0"/>
              <w:jc w:val="right"/>
              <w:rPr>
                <w:rFonts w:ascii="STFangsong" w:eastAsia="STFangsong"/>
                <w:sz w:val="23"/>
              </w:rPr>
            </w:pPr>
            <w:r>
              <w:rPr>
                <w:rFonts w:ascii="STFangsong" w:hAnsi="STFangsong" w:eastAsia="STFangsong"/>
                <w:b w:val="0"/>
                <w:color w:val="000000"/>
                <w:sz w:val="23"/>
              </w:rPr>
              <w:t>15.80%</w:t>
            </w:r>
          </w:p>
        </w:tc>
      </w:tr>
      <w:tr w14:paraId="3343968F">
        <w:trPr>
          <w:trHeight w:val="0" w:hRule="atLeast"/>
          <w:jc w:val="center"/>
        </w:trPr>
        <w:tc>
          <w:tcPr>
            <w:tcW w:w="3459" w:type="dxa"/>
            <w:tcMar>
              <w:top w:w="70" w:type="dxa"/>
              <w:left w:w="80" w:type="dxa"/>
              <w:bottom w:w="70" w:type="dxa"/>
              <w:right w:w="80" w:type="dxa"/>
            </w:tcMar>
            <w:vAlign w:val="center"/>
          </w:tcPr>
          <w:p w14:paraId="53A1B6B4">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评价折现率</w:t>
            </w:r>
          </w:p>
        </w:tc>
        <w:tc>
          <w:tcPr>
            <w:tcW w:w="2635" w:type="dxa"/>
            <w:tcMar>
              <w:top w:w="70" w:type="dxa"/>
              <w:left w:w="80" w:type="dxa"/>
              <w:bottom w:w="70" w:type="dxa"/>
              <w:right w:w="80" w:type="dxa"/>
            </w:tcMar>
            <w:vAlign w:val="center"/>
          </w:tcPr>
          <w:p w14:paraId="1308D5AC">
            <w:pPr>
              <w:snapToGrid w:val="0"/>
              <w:spacing w:before="0" w:after="0" w:line="240" w:lineRule="auto"/>
              <w:ind w:left="0" w:leftChars="0" w:right="0" w:rightChars="0" w:firstLine="0" w:firstLineChars="0"/>
              <w:jc w:val="right"/>
              <w:rPr>
                <w:rFonts w:ascii="STFangsong" w:eastAsia="STFangsong"/>
                <w:sz w:val="23"/>
              </w:rPr>
            </w:pPr>
            <w:r>
              <w:rPr>
                <w:rFonts w:ascii="STFangsong" w:hAnsi="STFangsong" w:eastAsia="STFangsong"/>
                <w:b w:val="0"/>
                <w:color w:val="000000"/>
                <w:sz w:val="23"/>
              </w:rPr>
              <w:t>3.98%</w:t>
            </w:r>
          </w:p>
        </w:tc>
        <w:tc>
          <w:tcPr>
            <w:tcW w:w="2635" w:type="dxa"/>
            <w:tcMar>
              <w:top w:w="70" w:type="dxa"/>
              <w:left w:w="80" w:type="dxa"/>
              <w:bottom w:w="70" w:type="dxa"/>
              <w:right w:w="80" w:type="dxa"/>
            </w:tcMar>
            <w:vAlign w:val="center"/>
          </w:tcPr>
          <w:p w14:paraId="48F50645">
            <w:pPr>
              <w:snapToGrid w:val="0"/>
              <w:spacing w:before="0" w:after="0" w:line="240" w:lineRule="auto"/>
              <w:ind w:left="0" w:leftChars="0" w:right="0" w:rightChars="0" w:firstLine="0" w:firstLineChars="0"/>
              <w:jc w:val="right"/>
              <w:rPr>
                <w:rFonts w:ascii="STFangsong" w:eastAsia="STFangsong"/>
                <w:sz w:val="23"/>
              </w:rPr>
            </w:pPr>
            <w:r>
              <w:rPr>
                <w:rFonts w:ascii="STFangsong" w:hAnsi="STFangsong" w:eastAsia="STFangsong"/>
                <w:b w:val="0"/>
                <w:color w:val="000000"/>
                <w:sz w:val="23"/>
              </w:rPr>
              <w:t>8.00%</w:t>
            </w:r>
          </w:p>
        </w:tc>
      </w:tr>
      <w:tr w14:paraId="2A0A6E95">
        <w:trPr>
          <w:trHeight w:val="0" w:hRule="atLeast"/>
          <w:jc w:val="center"/>
        </w:trPr>
        <w:tc>
          <w:tcPr>
            <w:tcW w:w="3459" w:type="dxa"/>
            <w:tcMar>
              <w:top w:w="70" w:type="dxa"/>
              <w:left w:w="80" w:type="dxa"/>
              <w:bottom w:w="70" w:type="dxa"/>
              <w:right w:w="80" w:type="dxa"/>
            </w:tcMar>
            <w:vAlign w:val="center"/>
          </w:tcPr>
          <w:p w14:paraId="6AB36E5D">
            <w:pPr>
              <w:snapToGrid w:val="0"/>
              <w:spacing w:before="0" w:after="0" w:line="240" w:lineRule="auto"/>
              <w:ind w:left="0" w:leftChars="0" w:right="0" w:rightChars="0" w:firstLine="0" w:firstLineChars="0"/>
              <w:jc w:val="left"/>
              <w:rPr>
                <w:rFonts w:ascii="STFangsong" w:eastAsia="STFangsong"/>
                <w:sz w:val="23"/>
              </w:rPr>
            </w:pPr>
            <w:r>
              <w:rPr>
                <w:rFonts w:ascii="STFangsong" w:hAnsi="STFangsong" w:eastAsia="STFangsong"/>
                <w:b w:val="0"/>
                <w:color w:val="000000"/>
                <w:sz w:val="23"/>
              </w:rPr>
              <w:t>静态回收期</w:t>
            </w:r>
          </w:p>
        </w:tc>
        <w:tc>
          <w:tcPr>
            <w:tcW w:w="2635" w:type="dxa"/>
            <w:tcMar>
              <w:top w:w="70" w:type="dxa"/>
              <w:left w:w="80" w:type="dxa"/>
              <w:bottom w:w="70" w:type="dxa"/>
              <w:right w:w="80" w:type="dxa"/>
            </w:tcMar>
            <w:vAlign w:val="center"/>
          </w:tcPr>
          <w:p w14:paraId="50D2FE0B">
            <w:pPr>
              <w:snapToGrid w:val="0"/>
              <w:spacing w:before="0" w:after="0" w:line="240" w:lineRule="auto"/>
              <w:ind w:left="0" w:leftChars="0" w:right="0" w:rightChars="0" w:firstLine="0" w:firstLineChars="0"/>
              <w:jc w:val="right"/>
              <w:rPr>
                <w:rFonts w:ascii="STFangsong" w:eastAsia="STFangsong"/>
                <w:sz w:val="23"/>
              </w:rPr>
            </w:pPr>
            <w:r>
              <w:rPr>
                <w:rFonts w:ascii="STFangsong" w:hAnsi="STFangsong" w:eastAsia="STFangsong"/>
                <w:b w:val="0"/>
                <w:color w:val="000000"/>
                <w:sz w:val="23"/>
              </w:rPr>
              <w:t>8.14年</w:t>
            </w:r>
          </w:p>
        </w:tc>
        <w:tc>
          <w:tcPr>
            <w:tcW w:w="2635" w:type="dxa"/>
            <w:tcMar>
              <w:top w:w="70" w:type="dxa"/>
              <w:left w:w="80" w:type="dxa"/>
              <w:bottom w:w="70" w:type="dxa"/>
              <w:right w:w="80" w:type="dxa"/>
            </w:tcMar>
            <w:vAlign w:val="center"/>
          </w:tcPr>
          <w:p w14:paraId="03C2ECD1">
            <w:pPr>
              <w:snapToGrid w:val="0"/>
              <w:spacing w:before="0" w:after="0" w:line="240" w:lineRule="auto"/>
              <w:ind w:left="0" w:leftChars="0" w:right="0" w:rightChars="0" w:firstLine="0" w:firstLineChars="0"/>
              <w:jc w:val="right"/>
              <w:rPr>
                <w:rFonts w:ascii="STFangsong" w:eastAsia="STFangsong"/>
                <w:sz w:val="23"/>
              </w:rPr>
            </w:pPr>
            <w:r>
              <w:rPr>
                <w:rFonts w:ascii="STFangsong" w:hAnsi="STFangsong" w:eastAsia="STFangsong"/>
                <w:b w:val="0"/>
                <w:color w:val="000000"/>
                <w:sz w:val="23"/>
              </w:rPr>
              <w:t>4.07年</w:t>
            </w:r>
          </w:p>
        </w:tc>
      </w:tr>
    </w:tbl>
    <w:p w14:paraId="558A7FEE">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全投资口径反映项目经营现金流覆盖全部投资和综合资本成本后的结果；资本金口径反映股东在70%贷款条件下的现金回报。基准方案全投资IRR为5.58%，较3.98%折现率高1.60个百分点；资本金IRR为15.80%，较8.00%折现率高7.80个百分点。两个口径的净现值均为正。</w:t>
      </w:r>
    </w:p>
    <w:p w14:paraId="68B538AC">
      <w:pPr>
        <w:keepNext/>
        <w:spacing w:before="80" w:after="0" w:line="240" w:lineRule="auto"/>
        <w:ind w:left="0" w:leftChars="0" w:firstLine="0" w:firstLineChars="0"/>
        <w:jc w:val="both"/>
      </w:pPr>
      <w:r>
        <w:drawing>
          <wp:inline distT="0" distB="0" distL="114300" distR="114300">
            <wp:extent cx="5486400" cy="2680335"/>
            <wp:effectExtent l="0" t="0" r="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486400" cy="2680889"/>
                    </a:xfrm>
                    <a:prstGeom prst="rect">
                      <a:avLst/>
                    </a:prstGeom>
                  </pic:spPr>
                </pic:pic>
              </a:graphicData>
            </a:graphic>
          </wp:inline>
        </w:drawing>
      </w:r>
    </w:p>
    <w:p w14:paraId="1230710E">
      <w:pPr>
        <w:spacing w:before="0" w:after="80" w:line="440" w:lineRule="exact"/>
        <w:ind w:left="0" w:leftChars="0" w:firstLine="0" w:firstLineChars="0"/>
        <w:jc w:val="center"/>
        <w:rPr>
          <w:rFonts w:hint="eastAsia" w:ascii="楷体_GB2312" w:hAnsi="楷体_GB2312" w:eastAsia="楷体_GB2312" w:cs="楷体_GB2312"/>
        </w:rPr>
      </w:pPr>
      <w:r>
        <w:rPr>
          <w:rFonts w:hint="eastAsia" w:ascii="楷体_GB2312" w:hAnsi="楷体_GB2312" w:eastAsia="楷体_GB2312" w:cs="楷体_GB2312"/>
          <w:b w:val="0"/>
          <w:color w:val="000000"/>
          <w:sz w:val="28"/>
        </w:rPr>
        <w:t>图6-1  20年项目现金流</w:t>
      </w:r>
    </w:p>
    <w:p w14:paraId="501A2F33">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图中柱形表示各年全投资净现金流，折线表示资本金净现金流。第10年因更换电池出现显著负现金流；第11年容量恢复后，经营现金流随新电池可用容量恢复。该年度构成全生命周期内最大的单年资金支出节点。</w:t>
      </w:r>
    </w:p>
    <w:p w14:paraId="4B614955">
      <w:pPr>
        <w:pStyle w:val="3"/>
        <w:jc w:val="both"/>
        <w:rPr>
          <w:rFonts w:hint="eastAsia" w:ascii="黑体" w:hAnsi="黑体" w:eastAsia="黑体" w:cs="黑体"/>
        </w:rPr>
      </w:pPr>
      <w:r>
        <w:rPr>
          <w:rFonts w:hint="eastAsia" w:ascii="黑体" w:hAnsi="黑体" w:eastAsia="黑体" w:cs="黑体"/>
        </w:rPr>
        <w:t>七、容量方案比较</w:t>
      </w:r>
    </w:p>
    <w:p w14:paraId="2778C284">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相同4小时持续时间下，储能功率由50MW增加至180MW时，首年收入和全投资NPV总体增加；达到全投资NPV峰值后，继续扩大容量时边际收益低于边际投资。资本金IRR随容量变化情况见下表和图示。</w:t>
      </w:r>
    </w:p>
    <w:tbl>
      <w:tblPr>
        <w:tblStyle w:val="33"/>
        <w:tblW w:w="87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8"/>
        <w:gridCol w:w="1120"/>
        <w:gridCol w:w="1120"/>
        <w:gridCol w:w="1443"/>
        <w:gridCol w:w="1880"/>
        <w:gridCol w:w="1880"/>
      </w:tblGrid>
      <w:tr w14:paraId="062827EB">
        <w:trPr>
          <w:trHeight w:val="0" w:hRule="atLeast"/>
          <w:tblHeader/>
          <w:jc w:val="center"/>
        </w:trPr>
        <w:tc>
          <w:tcPr>
            <w:tcW w:w="1298" w:type="dxa"/>
            <w:tcMar>
              <w:top w:w="70" w:type="dxa"/>
              <w:left w:w="80" w:type="dxa"/>
              <w:bottom w:w="70" w:type="dxa"/>
              <w:right w:w="80" w:type="dxa"/>
            </w:tcMar>
            <w:vAlign w:val="center"/>
          </w:tcPr>
          <w:p w14:paraId="5A03C16A">
            <w:pPr>
              <w:snapToGrid w:val="0"/>
              <w:spacing w:before="0" w:after="0" w:line="240" w:lineRule="auto"/>
              <w:ind w:left="0" w:leftChars="0" w:right="0" w:rightChars="0" w:firstLine="0" w:firstLineChars="0"/>
              <w:jc w:val="center"/>
              <w:rPr>
                <w:rFonts w:ascii="Heiti SC" w:eastAsia="Heiti SC"/>
                <w:b/>
                <w:sz w:val="20"/>
              </w:rPr>
            </w:pPr>
            <w:r>
              <w:rPr>
                <w:rFonts w:ascii="Heiti SC" w:hAnsi="Heiti SC" w:eastAsia="Heiti SC"/>
                <w:b/>
                <w:color w:val="000000"/>
                <w:sz w:val="20"/>
              </w:rPr>
              <w:t>MW/MWh</w:t>
            </w:r>
          </w:p>
        </w:tc>
        <w:tc>
          <w:tcPr>
            <w:tcW w:w="0" w:type="auto"/>
            <w:tcMar>
              <w:top w:w="70" w:type="dxa"/>
              <w:left w:w="80" w:type="dxa"/>
              <w:bottom w:w="70" w:type="dxa"/>
              <w:right w:w="80" w:type="dxa"/>
            </w:tcMar>
            <w:vAlign w:val="center"/>
          </w:tcPr>
          <w:p w14:paraId="190DD477">
            <w:pPr>
              <w:snapToGrid w:val="0"/>
              <w:spacing w:before="0" w:after="0" w:line="240" w:lineRule="auto"/>
              <w:ind w:left="0" w:leftChars="0" w:right="0" w:rightChars="0" w:firstLine="0" w:firstLineChars="0"/>
              <w:jc w:val="center"/>
              <w:rPr>
                <w:rFonts w:ascii="Heiti SC" w:eastAsia="Heiti SC"/>
                <w:b/>
                <w:sz w:val="20"/>
              </w:rPr>
            </w:pPr>
            <w:r>
              <w:rPr>
                <w:rFonts w:ascii="Heiti SC" w:hAnsi="Heiti SC" w:eastAsia="Heiti SC"/>
                <w:b/>
                <w:color w:val="000000"/>
                <w:sz w:val="20"/>
              </w:rPr>
              <w:t>初始投资</w:t>
            </w:r>
          </w:p>
        </w:tc>
        <w:tc>
          <w:tcPr>
            <w:tcW w:w="0" w:type="auto"/>
            <w:tcMar>
              <w:top w:w="70" w:type="dxa"/>
              <w:left w:w="80" w:type="dxa"/>
              <w:bottom w:w="70" w:type="dxa"/>
              <w:right w:w="80" w:type="dxa"/>
            </w:tcMar>
            <w:vAlign w:val="center"/>
          </w:tcPr>
          <w:p w14:paraId="34F14035">
            <w:pPr>
              <w:snapToGrid w:val="0"/>
              <w:spacing w:before="0" w:after="0" w:line="240" w:lineRule="auto"/>
              <w:ind w:left="0" w:leftChars="0" w:right="0" w:rightChars="0" w:firstLine="0" w:firstLineChars="0"/>
              <w:jc w:val="center"/>
              <w:rPr>
                <w:rFonts w:ascii="Heiti SC" w:eastAsia="Heiti SC"/>
                <w:b/>
                <w:sz w:val="20"/>
              </w:rPr>
            </w:pPr>
            <w:r>
              <w:rPr>
                <w:rFonts w:ascii="Heiti SC" w:hAnsi="Heiti SC" w:eastAsia="Heiti SC"/>
                <w:b/>
                <w:color w:val="000000"/>
                <w:sz w:val="20"/>
              </w:rPr>
              <w:t>首年收入</w:t>
            </w:r>
          </w:p>
        </w:tc>
        <w:tc>
          <w:tcPr>
            <w:tcW w:w="1443" w:type="dxa"/>
            <w:tcMar>
              <w:top w:w="70" w:type="dxa"/>
              <w:left w:w="80" w:type="dxa"/>
              <w:bottom w:w="70" w:type="dxa"/>
              <w:right w:w="80" w:type="dxa"/>
            </w:tcMar>
            <w:vAlign w:val="center"/>
          </w:tcPr>
          <w:p w14:paraId="4051C7A2">
            <w:pPr>
              <w:snapToGrid w:val="0"/>
              <w:spacing w:before="0" w:after="0" w:line="240" w:lineRule="auto"/>
              <w:ind w:left="0" w:leftChars="0" w:right="0" w:rightChars="0" w:firstLine="0" w:firstLineChars="0"/>
              <w:jc w:val="center"/>
              <w:rPr>
                <w:rFonts w:ascii="Heiti SC" w:eastAsia="Heiti SC"/>
                <w:b/>
                <w:sz w:val="20"/>
              </w:rPr>
            </w:pPr>
            <w:r>
              <w:rPr>
                <w:rFonts w:ascii="Heiti SC" w:hAnsi="Heiti SC" w:eastAsia="Heiti SC"/>
                <w:b/>
                <w:color w:val="000000"/>
                <w:sz w:val="20"/>
              </w:rPr>
              <w:t>全投资NPV</w:t>
            </w:r>
          </w:p>
        </w:tc>
        <w:tc>
          <w:tcPr>
            <w:tcW w:w="1880" w:type="dxa"/>
            <w:tcMar>
              <w:top w:w="70" w:type="dxa"/>
              <w:left w:w="80" w:type="dxa"/>
              <w:bottom w:w="70" w:type="dxa"/>
              <w:right w:w="80" w:type="dxa"/>
            </w:tcMar>
            <w:vAlign w:val="center"/>
          </w:tcPr>
          <w:p w14:paraId="5C120CEA">
            <w:pPr>
              <w:snapToGrid w:val="0"/>
              <w:spacing w:before="0" w:after="0" w:line="240" w:lineRule="auto"/>
              <w:ind w:left="0" w:leftChars="0" w:right="0" w:rightChars="0" w:firstLine="0" w:firstLineChars="0"/>
              <w:jc w:val="center"/>
              <w:rPr>
                <w:rFonts w:ascii="Heiti SC" w:eastAsia="Heiti SC"/>
                <w:b/>
                <w:sz w:val="20"/>
              </w:rPr>
            </w:pPr>
            <w:r>
              <w:rPr>
                <w:rFonts w:ascii="Heiti SC" w:hAnsi="Heiti SC" w:eastAsia="Heiti SC"/>
                <w:b/>
                <w:color w:val="000000"/>
                <w:sz w:val="20"/>
              </w:rPr>
              <w:t>全投资IRR（%）</w:t>
            </w:r>
          </w:p>
        </w:tc>
        <w:tc>
          <w:tcPr>
            <w:tcW w:w="1880" w:type="dxa"/>
            <w:tcMar>
              <w:top w:w="70" w:type="dxa"/>
              <w:left w:w="80" w:type="dxa"/>
              <w:bottom w:w="70" w:type="dxa"/>
              <w:right w:w="80" w:type="dxa"/>
            </w:tcMar>
            <w:vAlign w:val="center"/>
          </w:tcPr>
          <w:p w14:paraId="06B71527">
            <w:pPr>
              <w:snapToGrid w:val="0"/>
              <w:spacing w:before="0" w:after="0" w:line="240" w:lineRule="auto"/>
              <w:ind w:left="0" w:leftChars="0" w:right="0" w:rightChars="0" w:firstLine="0" w:firstLineChars="0"/>
              <w:jc w:val="center"/>
              <w:rPr>
                <w:rFonts w:ascii="Heiti SC" w:eastAsia="Heiti SC"/>
                <w:b/>
                <w:sz w:val="20"/>
              </w:rPr>
            </w:pPr>
            <w:r>
              <w:rPr>
                <w:rFonts w:ascii="Heiti SC" w:hAnsi="Heiti SC" w:eastAsia="Heiti SC"/>
                <w:b/>
                <w:color w:val="000000"/>
                <w:sz w:val="20"/>
              </w:rPr>
              <w:t>资本金IRR（%）</w:t>
            </w:r>
          </w:p>
        </w:tc>
      </w:tr>
      <w:tr w14:paraId="4104BE7B">
        <w:trPr>
          <w:trHeight w:val="0" w:hRule="atLeast"/>
          <w:jc w:val="center"/>
        </w:trPr>
        <w:tc>
          <w:tcPr>
            <w:tcW w:w="1298" w:type="dxa"/>
            <w:tcMar>
              <w:top w:w="70" w:type="dxa"/>
              <w:left w:w="80" w:type="dxa"/>
              <w:bottom w:w="70" w:type="dxa"/>
              <w:right w:w="80" w:type="dxa"/>
            </w:tcMar>
            <w:vAlign w:val="center"/>
          </w:tcPr>
          <w:p w14:paraId="1E404CC6">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50/200</w:t>
            </w:r>
          </w:p>
        </w:tc>
        <w:tc>
          <w:tcPr>
            <w:tcW w:w="0" w:type="auto"/>
            <w:tcMar>
              <w:top w:w="70" w:type="dxa"/>
              <w:left w:w="80" w:type="dxa"/>
              <w:bottom w:w="70" w:type="dxa"/>
              <w:right w:w="80" w:type="dxa"/>
            </w:tcMar>
            <w:vAlign w:val="center"/>
          </w:tcPr>
          <w:p w14:paraId="096148B9">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13,050</w:t>
            </w:r>
          </w:p>
        </w:tc>
        <w:tc>
          <w:tcPr>
            <w:tcW w:w="0" w:type="auto"/>
            <w:tcMar>
              <w:top w:w="70" w:type="dxa"/>
              <w:left w:w="80" w:type="dxa"/>
              <w:bottom w:w="70" w:type="dxa"/>
              <w:right w:w="80" w:type="dxa"/>
            </w:tcMar>
            <w:vAlign w:val="center"/>
          </w:tcPr>
          <w:p w14:paraId="1A5C5085">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2,117.3</w:t>
            </w:r>
          </w:p>
        </w:tc>
        <w:tc>
          <w:tcPr>
            <w:tcW w:w="1443" w:type="dxa"/>
            <w:tcMar>
              <w:top w:w="70" w:type="dxa"/>
              <w:left w:w="80" w:type="dxa"/>
              <w:bottom w:w="70" w:type="dxa"/>
              <w:right w:w="80" w:type="dxa"/>
            </w:tcMar>
            <w:vAlign w:val="center"/>
          </w:tcPr>
          <w:p w14:paraId="47E3BFFB">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2,590.1</w:t>
            </w:r>
          </w:p>
        </w:tc>
        <w:tc>
          <w:tcPr>
            <w:tcW w:w="1880" w:type="dxa"/>
            <w:tcMar>
              <w:top w:w="70" w:type="dxa"/>
              <w:left w:w="80" w:type="dxa"/>
              <w:bottom w:w="70" w:type="dxa"/>
              <w:right w:w="80" w:type="dxa"/>
            </w:tcMar>
            <w:vAlign w:val="center"/>
          </w:tcPr>
          <w:p w14:paraId="2F3D6406">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6.31</w:t>
            </w:r>
          </w:p>
        </w:tc>
        <w:tc>
          <w:tcPr>
            <w:tcW w:w="1880" w:type="dxa"/>
            <w:tcMar>
              <w:top w:w="70" w:type="dxa"/>
              <w:left w:w="80" w:type="dxa"/>
              <w:bottom w:w="70" w:type="dxa"/>
              <w:right w:w="80" w:type="dxa"/>
            </w:tcMar>
            <w:vAlign w:val="center"/>
          </w:tcPr>
          <w:p w14:paraId="23EC48CF">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18.48</w:t>
            </w:r>
          </w:p>
        </w:tc>
      </w:tr>
      <w:tr w14:paraId="619AC2E3">
        <w:trPr>
          <w:trHeight w:val="0" w:hRule="atLeast"/>
          <w:jc w:val="center"/>
        </w:trPr>
        <w:tc>
          <w:tcPr>
            <w:tcW w:w="1298" w:type="dxa"/>
            <w:tcMar>
              <w:top w:w="70" w:type="dxa"/>
              <w:left w:w="80" w:type="dxa"/>
              <w:bottom w:w="70" w:type="dxa"/>
              <w:right w:w="80" w:type="dxa"/>
            </w:tcMar>
            <w:vAlign w:val="center"/>
          </w:tcPr>
          <w:p w14:paraId="1ABD12CB">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100/400</w:t>
            </w:r>
          </w:p>
        </w:tc>
        <w:tc>
          <w:tcPr>
            <w:tcW w:w="0" w:type="auto"/>
            <w:tcMar>
              <w:top w:w="70" w:type="dxa"/>
              <w:left w:w="80" w:type="dxa"/>
              <w:bottom w:w="70" w:type="dxa"/>
              <w:right w:w="80" w:type="dxa"/>
            </w:tcMar>
            <w:vAlign w:val="center"/>
          </w:tcPr>
          <w:p w14:paraId="1AB41593">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26,100</w:t>
            </w:r>
          </w:p>
        </w:tc>
        <w:tc>
          <w:tcPr>
            <w:tcW w:w="0" w:type="auto"/>
            <w:tcMar>
              <w:top w:w="70" w:type="dxa"/>
              <w:left w:w="80" w:type="dxa"/>
              <w:bottom w:w="70" w:type="dxa"/>
              <w:right w:w="80" w:type="dxa"/>
            </w:tcMar>
            <w:vAlign w:val="center"/>
          </w:tcPr>
          <w:p w14:paraId="3C2FB6C8">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4,057.3</w:t>
            </w:r>
          </w:p>
        </w:tc>
        <w:tc>
          <w:tcPr>
            <w:tcW w:w="1443" w:type="dxa"/>
            <w:tcMar>
              <w:top w:w="70" w:type="dxa"/>
              <w:left w:w="80" w:type="dxa"/>
              <w:bottom w:w="70" w:type="dxa"/>
              <w:right w:w="80" w:type="dxa"/>
            </w:tcMar>
            <w:vAlign w:val="center"/>
          </w:tcPr>
          <w:p w14:paraId="4AFD82E1">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3,521.0</w:t>
            </w:r>
          </w:p>
        </w:tc>
        <w:tc>
          <w:tcPr>
            <w:tcW w:w="1880" w:type="dxa"/>
            <w:tcMar>
              <w:top w:w="70" w:type="dxa"/>
              <w:left w:w="80" w:type="dxa"/>
              <w:bottom w:w="70" w:type="dxa"/>
              <w:right w:w="80" w:type="dxa"/>
            </w:tcMar>
            <w:vAlign w:val="center"/>
          </w:tcPr>
          <w:p w14:paraId="124415F4">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5.58</w:t>
            </w:r>
          </w:p>
        </w:tc>
        <w:tc>
          <w:tcPr>
            <w:tcW w:w="1880" w:type="dxa"/>
            <w:tcMar>
              <w:top w:w="70" w:type="dxa"/>
              <w:left w:w="80" w:type="dxa"/>
              <w:bottom w:w="70" w:type="dxa"/>
              <w:right w:w="80" w:type="dxa"/>
            </w:tcMar>
            <w:vAlign w:val="center"/>
          </w:tcPr>
          <w:p w14:paraId="408FAD3C">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15.80</w:t>
            </w:r>
          </w:p>
        </w:tc>
      </w:tr>
      <w:tr w14:paraId="760F1EF0">
        <w:trPr>
          <w:trHeight w:val="0" w:hRule="atLeast"/>
          <w:jc w:val="center"/>
        </w:trPr>
        <w:tc>
          <w:tcPr>
            <w:tcW w:w="1298" w:type="dxa"/>
            <w:tcMar>
              <w:top w:w="70" w:type="dxa"/>
              <w:left w:w="80" w:type="dxa"/>
              <w:bottom w:w="70" w:type="dxa"/>
              <w:right w:w="80" w:type="dxa"/>
            </w:tcMar>
            <w:vAlign w:val="center"/>
          </w:tcPr>
          <w:p w14:paraId="07370044">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125/500</w:t>
            </w:r>
          </w:p>
        </w:tc>
        <w:tc>
          <w:tcPr>
            <w:tcW w:w="0" w:type="auto"/>
            <w:tcMar>
              <w:top w:w="70" w:type="dxa"/>
              <w:left w:w="80" w:type="dxa"/>
              <w:bottom w:w="70" w:type="dxa"/>
              <w:right w:w="80" w:type="dxa"/>
            </w:tcMar>
            <w:vAlign w:val="center"/>
          </w:tcPr>
          <w:p w14:paraId="736D1988">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32,625</w:t>
            </w:r>
          </w:p>
        </w:tc>
        <w:tc>
          <w:tcPr>
            <w:tcW w:w="0" w:type="auto"/>
            <w:tcMar>
              <w:top w:w="70" w:type="dxa"/>
              <w:left w:w="80" w:type="dxa"/>
              <w:bottom w:w="70" w:type="dxa"/>
              <w:right w:w="80" w:type="dxa"/>
            </w:tcMar>
            <w:vAlign w:val="center"/>
          </w:tcPr>
          <w:p w14:paraId="44A2B908">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5,013.2</w:t>
            </w:r>
          </w:p>
        </w:tc>
        <w:tc>
          <w:tcPr>
            <w:tcW w:w="1443" w:type="dxa"/>
            <w:tcMar>
              <w:top w:w="70" w:type="dxa"/>
              <w:left w:w="80" w:type="dxa"/>
              <w:bottom w:w="70" w:type="dxa"/>
              <w:right w:w="80" w:type="dxa"/>
            </w:tcMar>
            <w:vAlign w:val="center"/>
          </w:tcPr>
          <w:p w14:paraId="31B9EBE4">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3,854.1</w:t>
            </w:r>
          </w:p>
        </w:tc>
        <w:tc>
          <w:tcPr>
            <w:tcW w:w="1880" w:type="dxa"/>
            <w:tcMar>
              <w:top w:w="70" w:type="dxa"/>
              <w:left w:w="80" w:type="dxa"/>
              <w:bottom w:w="70" w:type="dxa"/>
              <w:right w:w="80" w:type="dxa"/>
            </w:tcMar>
            <w:vAlign w:val="center"/>
          </w:tcPr>
          <w:p w14:paraId="109609FD">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5.38</w:t>
            </w:r>
          </w:p>
        </w:tc>
        <w:tc>
          <w:tcPr>
            <w:tcW w:w="1880" w:type="dxa"/>
            <w:tcMar>
              <w:top w:w="70" w:type="dxa"/>
              <w:left w:w="80" w:type="dxa"/>
              <w:bottom w:w="70" w:type="dxa"/>
              <w:right w:w="80" w:type="dxa"/>
            </w:tcMar>
            <w:vAlign w:val="center"/>
          </w:tcPr>
          <w:p w14:paraId="3DD737D4">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15.06</w:t>
            </w:r>
          </w:p>
        </w:tc>
      </w:tr>
      <w:tr w14:paraId="09608EE8">
        <w:trPr>
          <w:trHeight w:val="0" w:hRule="atLeast"/>
          <w:jc w:val="center"/>
        </w:trPr>
        <w:tc>
          <w:tcPr>
            <w:tcW w:w="1298" w:type="dxa"/>
            <w:tcMar>
              <w:top w:w="70" w:type="dxa"/>
              <w:left w:w="80" w:type="dxa"/>
              <w:bottom w:w="70" w:type="dxa"/>
              <w:right w:w="80" w:type="dxa"/>
            </w:tcMar>
            <w:vAlign w:val="center"/>
          </w:tcPr>
          <w:p w14:paraId="61BFAF0D">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150/600</w:t>
            </w:r>
          </w:p>
        </w:tc>
        <w:tc>
          <w:tcPr>
            <w:tcW w:w="0" w:type="auto"/>
            <w:tcMar>
              <w:top w:w="70" w:type="dxa"/>
              <w:left w:w="80" w:type="dxa"/>
              <w:bottom w:w="70" w:type="dxa"/>
              <w:right w:w="80" w:type="dxa"/>
            </w:tcMar>
            <w:vAlign w:val="center"/>
          </w:tcPr>
          <w:p w14:paraId="0CD5C64A">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39,150</w:t>
            </w:r>
          </w:p>
        </w:tc>
        <w:tc>
          <w:tcPr>
            <w:tcW w:w="0" w:type="auto"/>
            <w:tcMar>
              <w:top w:w="70" w:type="dxa"/>
              <w:left w:w="80" w:type="dxa"/>
              <w:bottom w:w="70" w:type="dxa"/>
              <w:right w:w="80" w:type="dxa"/>
            </w:tcMar>
            <w:vAlign w:val="center"/>
          </w:tcPr>
          <w:p w14:paraId="09066ADF">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5,962.0</w:t>
            </w:r>
          </w:p>
        </w:tc>
        <w:tc>
          <w:tcPr>
            <w:tcW w:w="1443" w:type="dxa"/>
            <w:tcMar>
              <w:top w:w="70" w:type="dxa"/>
              <w:left w:w="80" w:type="dxa"/>
              <w:bottom w:w="70" w:type="dxa"/>
              <w:right w:w="80" w:type="dxa"/>
            </w:tcMar>
            <w:vAlign w:val="center"/>
          </w:tcPr>
          <w:p w14:paraId="30D29A51">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4,121.7</w:t>
            </w:r>
          </w:p>
        </w:tc>
        <w:tc>
          <w:tcPr>
            <w:tcW w:w="1880" w:type="dxa"/>
            <w:tcMar>
              <w:top w:w="70" w:type="dxa"/>
              <w:left w:w="80" w:type="dxa"/>
              <w:bottom w:w="70" w:type="dxa"/>
              <w:right w:w="80" w:type="dxa"/>
            </w:tcMar>
            <w:vAlign w:val="center"/>
          </w:tcPr>
          <w:p w14:paraId="75BD6D81">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5.23</w:t>
            </w:r>
          </w:p>
        </w:tc>
        <w:tc>
          <w:tcPr>
            <w:tcW w:w="1880" w:type="dxa"/>
            <w:tcMar>
              <w:top w:w="70" w:type="dxa"/>
              <w:left w:w="80" w:type="dxa"/>
              <w:bottom w:w="70" w:type="dxa"/>
              <w:right w:w="80" w:type="dxa"/>
            </w:tcMar>
            <w:vAlign w:val="center"/>
          </w:tcPr>
          <w:p w14:paraId="476F4AD8">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14.49</w:t>
            </w:r>
          </w:p>
        </w:tc>
      </w:tr>
      <w:tr w14:paraId="55F55CCA">
        <w:trPr>
          <w:trHeight w:val="0" w:hRule="atLeast"/>
          <w:jc w:val="center"/>
        </w:trPr>
        <w:tc>
          <w:tcPr>
            <w:tcW w:w="1298" w:type="dxa"/>
            <w:tcMar>
              <w:top w:w="70" w:type="dxa"/>
              <w:left w:w="80" w:type="dxa"/>
              <w:bottom w:w="70" w:type="dxa"/>
              <w:right w:w="80" w:type="dxa"/>
            </w:tcMar>
            <w:vAlign w:val="center"/>
          </w:tcPr>
          <w:p w14:paraId="22DCDDC8">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180/720</w:t>
            </w:r>
          </w:p>
        </w:tc>
        <w:tc>
          <w:tcPr>
            <w:tcW w:w="0" w:type="auto"/>
            <w:tcMar>
              <w:top w:w="70" w:type="dxa"/>
              <w:left w:w="80" w:type="dxa"/>
              <w:bottom w:w="70" w:type="dxa"/>
              <w:right w:w="80" w:type="dxa"/>
            </w:tcMar>
            <w:vAlign w:val="center"/>
          </w:tcPr>
          <w:p w14:paraId="31C287DE">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46,980</w:t>
            </w:r>
          </w:p>
        </w:tc>
        <w:tc>
          <w:tcPr>
            <w:tcW w:w="0" w:type="auto"/>
            <w:tcMar>
              <w:top w:w="70" w:type="dxa"/>
              <w:left w:w="80" w:type="dxa"/>
              <w:bottom w:w="70" w:type="dxa"/>
              <w:right w:w="80" w:type="dxa"/>
            </w:tcMar>
            <w:vAlign w:val="center"/>
          </w:tcPr>
          <w:p w14:paraId="0A23B407">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7,082.7</w:t>
            </w:r>
          </w:p>
        </w:tc>
        <w:tc>
          <w:tcPr>
            <w:tcW w:w="1443" w:type="dxa"/>
            <w:tcMar>
              <w:top w:w="70" w:type="dxa"/>
              <w:left w:w="80" w:type="dxa"/>
              <w:bottom w:w="70" w:type="dxa"/>
              <w:right w:w="80" w:type="dxa"/>
            </w:tcMar>
            <w:vAlign w:val="center"/>
          </w:tcPr>
          <w:p w14:paraId="23F11DC2">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4,274.6</w:t>
            </w:r>
          </w:p>
        </w:tc>
        <w:tc>
          <w:tcPr>
            <w:tcW w:w="1880" w:type="dxa"/>
            <w:tcMar>
              <w:top w:w="70" w:type="dxa"/>
              <w:left w:w="80" w:type="dxa"/>
              <w:bottom w:w="70" w:type="dxa"/>
              <w:right w:w="80" w:type="dxa"/>
            </w:tcMar>
            <w:vAlign w:val="center"/>
          </w:tcPr>
          <w:p w14:paraId="1EB71EDB">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5.06</w:t>
            </w:r>
          </w:p>
        </w:tc>
        <w:tc>
          <w:tcPr>
            <w:tcW w:w="1880" w:type="dxa"/>
            <w:tcMar>
              <w:top w:w="70" w:type="dxa"/>
              <w:left w:w="80" w:type="dxa"/>
              <w:bottom w:w="70" w:type="dxa"/>
              <w:right w:w="80" w:type="dxa"/>
            </w:tcMar>
            <w:vAlign w:val="center"/>
          </w:tcPr>
          <w:p w14:paraId="7E0EF349">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13.84</w:t>
            </w:r>
          </w:p>
        </w:tc>
      </w:tr>
      <w:tr w14:paraId="22B88D90">
        <w:trPr>
          <w:trHeight w:val="0" w:hRule="atLeast"/>
          <w:jc w:val="center"/>
        </w:trPr>
        <w:tc>
          <w:tcPr>
            <w:tcW w:w="1298" w:type="dxa"/>
            <w:tcMar>
              <w:top w:w="70" w:type="dxa"/>
              <w:left w:w="80" w:type="dxa"/>
              <w:bottom w:w="70" w:type="dxa"/>
              <w:right w:w="80" w:type="dxa"/>
            </w:tcMar>
            <w:vAlign w:val="center"/>
          </w:tcPr>
          <w:p w14:paraId="62BB5F35">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240/960</w:t>
            </w:r>
          </w:p>
        </w:tc>
        <w:tc>
          <w:tcPr>
            <w:tcW w:w="1120" w:type="dxa"/>
            <w:tcMar>
              <w:top w:w="70" w:type="dxa"/>
              <w:left w:w="80" w:type="dxa"/>
              <w:bottom w:w="70" w:type="dxa"/>
              <w:right w:w="80" w:type="dxa"/>
            </w:tcMar>
            <w:vAlign w:val="center"/>
          </w:tcPr>
          <w:p w14:paraId="7FA3D739">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62,640</w:t>
            </w:r>
          </w:p>
        </w:tc>
        <w:tc>
          <w:tcPr>
            <w:tcW w:w="1120" w:type="dxa"/>
            <w:tcMar>
              <w:top w:w="70" w:type="dxa"/>
              <w:left w:w="80" w:type="dxa"/>
              <w:bottom w:w="70" w:type="dxa"/>
              <w:right w:w="80" w:type="dxa"/>
            </w:tcMar>
            <w:vAlign w:val="center"/>
          </w:tcPr>
          <w:p w14:paraId="6AD3897E">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9,172.6</w:t>
            </w:r>
          </w:p>
        </w:tc>
        <w:tc>
          <w:tcPr>
            <w:tcW w:w="1443" w:type="dxa"/>
            <w:tcMar>
              <w:top w:w="70" w:type="dxa"/>
              <w:left w:w="80" w:type="dxa"/>
              <w:bottom w:w="70" w:type="dxa"/>
              <w:right w:w="80" w:type="dxa"/>
            </w:tcMar>
            <w:vAlign w:val="center"/>
          </w:tcPr>
          <w:p w14:paraId="363D606B">
            <w:pPr>
              <w:snapToGrid w:val="0"/>
              <w:spacing w:before="0" w:after="0" w:line="240" w:lineRule="auto"/>
              <w:ind w:left="0" w:leftChars="0" w:right="0" w:rightChars="0" w:firstLine="0" w:firstLineChars="0"/>
              <w:jc w:val="right"/>
              <w:rPr>
                <w:rFonts w:ascii="STFangsong" w:eastAsia="STFangsong"/>
                <w:sz w:val="20"/>
              </w:rPr>
            </w:pPr>
            <w:r>
              <w:rPr>
                <w:rFonts w:ascii="STFangsong" w:hAnsi="STFangsong" w:eastAsia="STFangsong"/>
                <w:b w:val="0"/>
                <w:color w:val="000000"/>
                <w:sz w:val="20"/>
              </w:rPr>
              <w:t>3,162.6</w:t>
            </w:r>
          </w:p>
        </w:tc>
        <w:tc>
          <w:tcPr>
            <w:tcW w:w="1880" w:type="dxa"/>
            <w:tcMar>
              <w:top w:w="70" w:type="dxa"/>
              <w:left w:w="80" w:type="dxa"/>
              <w:bottom w:w="70" w:type="dxa"/>
              <w:right w:w="80" w:type="dxa"/>
            </w:tcMar>
            <w:vAlign w:val="center"/>
          </w:tcPr>
          <w:p w14:paraId="41DAB054">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4.58</w:t>
            </w:r>
          </w:p>
        </w:tc>
        <w:tc>
          <w:tcPr>
            <w:tcW w:w="1880" w:type="dxa"/>
            <w:tcMar>
              <w:top w:w="70" w:type="dxa"/>
              <w:left w:w="80" w:type="dxa"/>
              <w:bottom w:w="70" w:type="dxa"/>
              <w:right w:w="80" w:type="dxa"/>
            </w:tcMar>
            <w:vAlign w:val="center"/>
          </w:tcPr>
          <w:p w14:paraId="631B9FAF">
            <w:pPr>
              <w:snapToGrid w:val="0"/>
              <w:spacing w:before="0" w:after="0" w:line="240" w:lineRule="auto"/>
              <w:ind w:left="0" w:leftChars="0" w:right="0" w:rightChars="0" w:firstLine="0" w:firstLineChars="0"/>
              <w:jc w:val="center"/>
              <w:rPr>
                <w:rFonts w:ascii="STFangsong" w:eastAsia="STFangsong"/>
                <w:sz w:val="20"/>
              </w:rPr>
            </w:pPr>
            <w:r>
              <w:rPr>
                <w:rFonts w:ascii="STFangsong" w:hAnsi="STFangsong" w:eastAsia="STFangsong"/>
                <w:b w:val="0"/>
                <w:color w:val="000000"/>
                <w:sz w:val="20"/>
              </w:rPr>
              <w:t>11.95</w:t>
            </w:r>
          </w:p>
        </w:tc>
      </w:tr>
    </w:tbl>
    <w:p w14:paraId="64BA9453">
      <w:pPr>
        <w:keepNext/>
        <w:spacing w:before="80" w:after="0" w:line="240" w:lineRule="auto"/>
        <w:ind w:left="0" w:leftChars="0" w:firstLine="0" w:firstLineChars="0"/>
        <w:jc w:val="both"/>
      </w:pPr>
      <w:r>
        <w:drawing>
          <wp:inline distT="0" distB="0" distL="114300" distR="114300">
            <wp:extent cx="5486400" cy="28016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486400" cy="2802193"/>
                    </a:xfrm>
                    <a:prstGeom prst="rect">
                      <a:avLst/>
                    </a:prstGeom>
                  </pic:spPr>
                </pic:pic>
              </a:graphicData>
            </a:graphic>
          </wp:inline>
        </w:drawing>
      </w:r>
    </w:p>
    <w:p w14:paraId="1506988B">
      <w:pPr>
        <w:spacing w:before="0" w:after="80" w:line="440" w:lineRule="exact"/>
        <w:ind w:left="0" w:leftChars="0" w:firstLine="0" w:firstLineChars="0"/>
        <w:jc w:val="center"/>
        <w:rPr>
          <w:rFonts w:hint="eastAsia" w:ascii="楷体_GB2312" w:hAnsi="楷体_GB2312" w:eastAsia="楷体_GB2312" w:cs="楷体_GB2312"/>
        </w:rPr>
      </w:pPr>
      <w:r>
        <w:rPr>
          <w:rFonts w:hint="eastAsia" w:ascii="楷体_GB2312" w:hAnsi="楷体_GB2312" w:eastAsia="楷体_GB2312" w:cs="楷体_GB2312"/>
          <w:b w:val="0"/>
          <w:color w:val="000000"/>
          <w:sz w:val="28"/>
        </w:rPr>
        <w:t>图7-1  4小时容量方案比较</w:t>
      </w:r>
    </w:p>
    <w:p w14:paraId="5177FCB5">
      <w:pPr>
        <w:spacing w:before="0" w:after="0" w:line="579" w:lineRule="exact"/>
        <w:ind w:firstLine="640"/>
        <w:jc w:val="both"/>
      </w:pPr>
      <w:r>
        <w:rPr>
          <w:rFonts w:hint="eastAsia" w:ascii="仿宋_GB2312" w:hAnsi="仿宋_GB2312" w:eastAsia="仿宋_GB2312" w:cs="仿宋_GB2312"/>
          <w:b w:val="0"/>
          <w:color w:val="000000"/>
          <w:sz w:val="32"/>
        </w:rPr>
        <w:t>全网格中，4小时配置的全投资NPV在180MW附近达到峰值。180MW/720MWh相对100MW/400MWh增加初始投资20,880.0万元，全投资NPV变化+753.6万元，资本金IRR由15.80%变为13.84%。本报告以100MW/400MWh作为指定测算对象，容量比较仅呈现不同规模对应的财务差异。</w:t>
      </w:r>
    </w:p>
    <w:p w14:paraId="0AEA4C97">
      <w:pPr>
        <w:pStyle w:val="3"/>
        <w:jc w:val="both"/>
        <w:rPr>
          <w:rFonts w:hint="eastAsia" w:ascii="黑体" w:hAnsi="黑体" w:eastAsia="黑体" w:cs="黑体"/>
        </w:rPr>
      </w:pPr>
      <w:r>
        <w:rPr>
          <w:rFonts w:hint="eastAsia" w:ascii="黑体" w:hAnsi="黑体" w:eastAsia="黑体" w:cs="黑体"/>
        </w:rPr>
        <w:t>八、敏感性分析</w:t>
      </w:r>
    </w:p>
    <w:p w14:paraId="4415C3EA">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敏感性分析分别改变初始造价、年经营收益和电池衰减。造价上浮10%或电池年衰减升至4%时，全投资NPV接近零；经营收益下降20%时，全投资和资本金NPV均为负值。</w:t>
      </w:r>
    </w:p>
    <w:tbl>
      <w:tblPr>
        <w:tblStyle w:val="33"/>
        <w:tblW w:w="88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1"/>
        <w:gridCol w:w="1491"/>
        <w:gridCol w:w="1349"/>
        <w:gridCol w:w="1491"/>
        <w:gridCol w:w="1351"/>
      </w:tblGrid>
      <w:tr w14:paraId="0148060C">
        <w:trPr>
          <w:trHeight w:val="0" w:hRule="atLeast"/>
          <w:tblHeader/>
          <w:jc w:val="center"/>
        </w:trPr>
        <w:tc>
          <w:tcPr>
            <w:tcW w:w="3121" w:type="dxa"/>
            <w:tcMar>
              <w:top w:w="70" w:type="dxa"/>
              <w:left w:w="80" w:type="dxa"/>
              <w:bottom w:w="70" w:type="dxa"/>
              <w:right w:w="80" w:type="dxa"/>
            </w:tcMar>
            <w:vAlign w:val="center"/>
          </w:tcPr>
          <w:p w14:paraId="488D611F">
            <w:pPr>
              <w:keepNext/>
              <w:snapToGrid w:val="0"/>
              <w:spacing w:before="0" w:after="0" w:line="240" w:lineRule="auto"/>
              <w:ind w:left="0" w:leftChars="0" w:right="0" w:rightChars="0" w:firstLine="0" w:firstLineChars="0"/>
              <w:jc w:val="center"/>
              <w:rPr>
                <w:rFonts w:ascii="Heiti SC" w:eastAsia="Heiti SC"/>
                <w:b/>
                <w:sz w:val="21"/>
              </w:rPr>
            </w:pPr>
            <w:r>
              <w:rPr>
                <w:rFonts w:ascii="Heiti SC" w:hAnsi="Heiti SC" w:eastAsia="Heiti SC"/>
                <w:b/>
                <w:color w:val="000000"/>
                <w:sz w:val="21"/>
              </w:rPr>
              <w:t>情景</w:t>
            </w:r>
          </w:p>
        </w:tc>
        <w:tc>
          <w:tcPr>
            <w:tcW w:w="0" w:type="auto"/>
            <w:tcMar>
              <w:top w:w="70" w:type="dxa"/>
              <w:left w:w="80" w:type="dxa"/>
              <w:bottom w:w="70" w:type="dxa"/>
              <w:right w:w="80" w:type="dxa"/>
            </w:tcMar>
            <w:vAlign w:val="center"/>
          </w:tcPr>
          <w:p w14:paraId="4F1702E0">
            <w:pPr>
              <w:keepNext/>
              <w:snapToGrid w:val="0"/>
              <w:spacing w:before="0" w:after="0" w:line="240" w:lineRule="auto"/>
              <w:ind w:left="0" w:leftChars="0" w:right="0" w:rightChars="0" w:firstLine="0" w:firstLineChars="0"/>
              <w:jc w:val="center"/>
              <w:rPr>
                <w:rFonts w:ascii="Heiti SC" w:eastAsia="Heiti SC"/>
                <w:b/>
                <w:sz w:val="21"/>
              </w:rPr>
            </w:pPr>
            <w:r>
              <w:rPr>
                <w:rFonts w:ascii="Heiti SC" w:hAnsi="Heiti SC" w:eastAsia="Heiti SC"/>
                <w:b/>
                <w:color w:val="000000"/>
                <w:sz w:val="21"/>
              </w:rPr>
              <w:t>全投资NPV</w:t>
            </w:r>
          </w:p>
        </w:tc>
        <w:tc>
          <w:tcPr>
            <w:tcW w:w="0" w:type="auto"/>
            <w:tcMar>
              <w:top w:w="70" w:type="dxa"/>
              <w:left w:w="80" w:type="dxa"/>
              <w:bottom w:w="70" w:type="dxa"/>
              <w:right w:w="80" w:type="dxa"/>
            </w:tcMar>
            <w:vAlign w:val="center"/>
          </w:tcPr>
          <w:p w14:paraId="3369D418">
            <w:pPr>
              <w:keepNext/>
              <w:snapToGrid w:val="0"/>
              <w:spacing w:before="0" w:after="0" w:line="240" w:lineRule="auto"/>
              <w:ind w:left="0" w:leftChars="0" w:right="0" w:rightChars="0" w:firstLine="0" w:firstLineChars="0"/>
              <w:jc w:val="center"/>
              <w:rPr>
                <w:rFonts w:ascii="Heiti SC" w:eastAsia="Heiti SC"/>
                <w:b/>
                <w:sz w:val="21"/>
              </w:rPr>
            </w:pPr>
            <w:r>
              <w:rPr>
                <w:rFonts w:ascii="Heiti SC" w:hAnsi="Heiti SC" w:eastAsia="Heiti SC"/>
                <w:b/>
                <w:color w:val="000000"/>
                <w:sz w:val="21"/>
              </w:rPr>
              <w:t>全投资IRR</w:t>
            </w:r>
          </w:p>
        </w:tc>
        <w:tc>
          <w:tcPr>
            <w:tcW w:w="0" w:type="auto"/>
            <w:tcMar>
              <w:top w:w="70" w:type="dxa"/>
              <w:left w:w="80" w:type="dxa"/>
              <w:bottom w:w="70" w:type="dxa"/>
              <w:right w:w="80" w:type="dxa"/>
            </w:tcMar>
            <w:vAlign w:val="center"/>
          </w:tcPr>
          <w:p w14:paraId="292E41C0">
            <w:pPr>
              <w:keepNext/>
              <w:snapToGrid w:val="0"/>
              <w:spacing w:before="0" w:after="0" w:line="240" w:lineRule="auto"/>
              <w:ind w:left="0" w:leftChars="0" w:right="0" w:rightChars="0" w:firstLine="0" w:firstLineChars="0"/>
              <w:jc w:val="center"/>
              <w:rPr>
                <w:rFonts w:ascii="Heiti SC" w:eastAsia="Heiti SC"/>
                <w:b/>
                <w:sz w:val="21"/>
              </w:rPr>
            </w:pPr>
            <w:r>
              <w:rPr>
                <w:rFonts w:ascii="Heiti SC" w:hAnsi="Heiti SC" w:eastAsia="Heiti SC"/>
                <w:b/>
                <w:color w:val="000000"/>
                <w:sz w:val="21"/>
              </w:rPr>
              <w:t>资本金NPV</w:t>
            </w:r>
          </w:p>
        </w:tc>
        <w:tc>
          <w:tcPr>
            <w:tcW w:w="1351" w:type="dxa"/>
            <w:tcMar>
              <w:top w:w="70" w:type="dxa"/>
              <w:left w:w="80" w:type="dxa"/>
              <w:bottom w:w="70" w:type="dxa"/>
              <w:right w:w="80" w:type="dxa"/>
            </w:tcMar>
            <w:vAlign w:val="center"/>
          </w:tcPr>
          <w:p w14:paraId="2261C84A">
            <w:pPr>
              <w:keepNext/>
              <w:snapToGrid w:val="0"/>
              <w:spacing w:before="0" w:after="0" w:line="240" w:lineRule="auto"/>
              <w:ind w:left="0" w:leftChars="0" w:right="0" w:rightChars="0" w:firstLine="0" w:firstLineChars="0"/>
              <w:jc w:val="center"/>
              <w:rPr>
                <w:rFonts w:ascii="Heiti SC" w:eastAsia="Heiti SC"/>
                <w:b/>
                <w:sz w:val="21"/>
              </w:rPr>
            </w:pPr>
            <w:r>
              <w:rPr>
                <w:rFonts w:ascii="Heiti SC" w:hAnsi="Heiti SC" w:eastAsia="Heiti SC"/>
                <w:b/>
                <w:color w:val="000000"/>
                <w:sz w:val="21"/>
              </w:rPr>
              <w:t>资本金IRR</w:t>
            </w:r>
          </w:p>
        </w:tc>
      </w:tr>
      <w:tr w14:paraId="7D2FF827">
        <w:trPr>
          <w:trHeight w:val="0" w:hRule="atLeast"/>
          <w:jc w:val="center"/>
        </w:trPr>
        <w:tc>
          <w:tcPr>
            <w:tcW w:w="3121" w:type="dxa"/>
            <w:tcMar>
              <w:top w:w="70" w:type="dxa"/>
              <w:left w:w="80" w:type="dxa"/>
              <w:bottom w:w="70" w:type="dxa"/>
              <w:right w:w="80" w:type="dxa"/>
            </w:tcMar>
            <w:vAlign w:val="center"/>
          </w:tcPr>
          <w:p w14:paraId="58D4337B">
            <w:pPr>
              <w:keepNext/>
              <w:snapToGrid w:val="0"/>
              <w:spacing w:before="0" w:after="0" w:line="240" w:lineRule="auto"/>
              <w:ind w:left="0" w:leftChars="0" w:right="0" w:rightChars="0" w:firstLine="0" w:firstLineChars="0"/>
              <w:jc w:val="left"/>
              <w:rPr>
                <w:rFonts w:ascii="STFangsong" w:eastAsia="STFangsong"/>
                <w:sz w:val="21"/>
              </w:rPr>
            </w:pPr>
            <w:r>
              <w:rPr>
                <w:rFonts w:ascii="STFangsong" w:hAnsi="STFangsong" w:eastAsia="STFangsong"/>
                <w:b w:val="0"/>
                <w:color w:val="000000"/>
                <w:sz w:val="21"/>
              </w:rPr>
              <w:t>基准</w:t>
            </w:r>
          </w:p>
        </w:tc>
        <w:tc>
          <w:tcPr>
            <w:tcW w:w="0" w:type="auto"/>
            <w:tcMar>
              <w:top w:w="70" w:type="dxa"/>
              <w:left w:w="80" w:type="dxa"/>
              <w:bottom w:w="70" w:type="dxa"/>
              <w:right w:w="80" w:type="dxa"/>
            </w:tcMar>
            <w:vAlign w:val="center"/>
          </w:tcPr>
          <w:p w14:paraId="2FA6F831">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3,521.0</w:t>
            </w:r>
          </w:p>
        </w:tc>
        <w:tc>
          <w:tcPr>
            <w:tcW w:w="0" w:type="auto"/>
            <w:tcMar>
              <w:top w:w="70" w:type="dxa"/>
              <w:left w:w="80" w:type="dxa"/>
              <w:bottom w:w="70" w:type="dxa"/>
              <w:right w:w="80" w:type="dxa"/>
            </w:tcMar>
            <w:vAlign w:val="center"/>
          </w:tcPr>
          <w:p w14:paraId="63A4D658">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5.58%</w:t>
            </w:r>
          </w:p>
        </w:tc>
        <w:tc>
          <w:tcPr>
            <w:tcW w:w="0" w:type="auto"/>
            <w:tcMar>
              <w:top w:w="70" w:type="dxa"/>
              <w:left w:w="80" w:type="dxa"/>
              <w:bottom w:w="70" w:type="dxa"/>
              <w:right w:w="80" w:type="dxa"/>
            </w:tcMar>
            <w:vAlign w:val="center"/>
          </w:tcPr>
          <w:p w14:paraId="0B5CAE19">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3,106.5</w:t>
            </w:r>
          </w:p>
        </w:tc>
        <w:tc>
          <w:tcPr>
            <w:tcW w:w="1351" w:type="dxa"/>
            <w:tcMar>
              <w:top w:w="70" w:type="dxa"/>
              <w:left w:w="80" w:type="dxa"/>
              <w:bottom w:w="70" w:type="dxa"/>
              <w:right w:w="80" w:type="dxa"/>
            </w:tcMar>
            <w:vAlign w:val="center"/>
          </w:tcPr>
          <w:p w14:paraId="2CFDE23D">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15.80%</w:t>
            </w:r>
          </w:p>
        </w:tc>
      </w:tr>
      <w:tr w14:paraId="40A7910A">
        <w:trPr>
          <w:trHeight w:val="0" w:hRule="atLeast"/>
          <w:jc w:val="center"/>
        </w:trPr>
        <w:tc>
          <w:tcPr>
            <w:tcW w:w="3121" w:type="dxa"/>
            <w:tcMar>
              <w:top w:w="70" w:type="dxa"/>
              <w:left w:w="80" w:type="dxa"/>
              <w:bottom w:w="70" w:type="dxa"/>
              <w:right w:w="80" w:type="dxa"/>
            </w:tcMar>
            <w:vAlign w:val="center"/>
          </w:tcPr>
          <w:p w14:paraId="07CDDC83">
            <w:pPr>
              <w:keepNext/>
              <w:snapToGrid w:val="0"/>
              <w:spacing w:before="0" w:after="0" w:line="240" w:lineRule="auto"/>
              <w:ind w:left="0" w:leftChars="0" w:right="0" w:rightChars="0" w:firstLine="0" w:firstLineChars="0"/>
              <w:jc w:val="left"/>
              <w:rPr>
                <w:rFonts w:ascii="STFangsong" w:eastAsia="STFangsong"/>
                <w:sz w:val="21"/>
              </w:rPr>
            </w:pPr>
            <w:r>
              <w:rPr>
                <w:rFonts w:ascii="STFangsong" w:hAnsi="STFangsong" w:eastAsia="STFangsong"/>
                <w:b w:val="0"/>
                <w:color w:val="000000"/>
                <w:sz w:val="21"/>
              </w:rPr>
              <w:t>造价 +10%</w:t>
            </w:r>
          </w:p>
        </w:tc>
        <w:tc>
          <w:tcPr>
            <w:tcW w:w="0" w:type="auto"/>
            <w:tcMar>
              <w:top w:w="70" w:type="dxa"/>
              <w:left w:w="80" w:type="dxa"/>
              <w:bottom w:w="70" w:type="dxa"/>
              <w:right w:w="80" w:type="dxa"/>
            </w:tcMar>
            <w:vAlign w:val="center"/>
          </w:tcPr>
          <w:p w14:paraId="6360D6EB">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74.8</w:t>
            </w:r>
          </w:p>
        </w:tc>
        <w:tc>
          <w:tcPr>
            <w:tcW w:w="0" w:type="auto"/>
            <w:tcMar>
              <w:top w:w="70" w:type="dxa"/>
              <w:left w:w="80" w:type="dxa"/>
              <w:bottom w:w="70" w:type="dxa"/>
              <w:right w:w="80" w:type="dxa"/>
            </w:tcMar>
            <w:vAlign w:val="center"/>
          </w:tcPr>
          <w:p w14:paraId="03ABF0BB">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4.01%</w:t>
            </w:r>
          </w:p>
        </w:tc>
        <w:tc>
          <w:tcPr>
            <w:tcW w:w="0" w:type="auto"/>
            <w:tcMar>
              <w:top w:w="70" w:type="dxa"/>
              <w:left w:w="80" w:type="dxa"/>
              <w:bottom w:w="70" w:type="dxa"/>
              <w:right w:w="80" w:type="dxa"/>
            </w:tcMar>
            <w:vAlign w:val="center"/>
          </w:tcPr>
          <w:p w14:paraId="069FA5F7">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660.9</w:t>
            </w:r>
          </w:p>
        </w:tc>
        <w:tc>
          <w:tcPr>
            <w:tcW w:w="1351" w:type="dxa"/>
            <w:tcMar>
              <w:top w:w="70" w:type="dxa"/>
              <w:left w:w="80" w:type="dxa"/>
              <w:bottom w:w="70" w:type="dxa"/>
              <w:right w:w="80" w:type="dxa"/>
            </w:tcMar>
            <w:vAlign w:val="center"/>
          </w:tcPr>
          <w:p w14:paraId="6E0D21B8">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9.61%</w:t>
            </w:r>
          </w:p>
        </w:tc>
      </w:tr>
      <w:tr w14:paraId="7AABE066">
        <w:trPr>
          <w:trHeight w:val="0" w:hRule="atLeast"/>
          <w:jc w:val="center"/>
        </w:trPr>
        <w:tc>
          <w:tcPr>
            <w:tcW w:w="3121" w:type="dxa"/>
            <w:tcMar>
              <w:top w:w="70" w:type="dxa"/>
              <w:left w:w="80" w:type="dxa"/>
              <w:bottom w:w="70" w:type="dxa"/>
              <w:right w:w="80" w:type="dxa"/>
            </w:tcMar>
            <w:vAlign w:val="center"/>
          </w:tcPr>
          <w:p w14:paraId="5DF8F665">
            <w:pPr>
              <w:keepNext/>
              <w:snapToGrid w:val="0"/>
              <w:spacing w:before="0" w:after="0" w:line="240" w:lineRule="auto"/>
              <w:ind w:left="0" w:leftChars="0" w:right="0" w:rightChars="0" w:firstLine="0" w:firstLineChars="0"/>
              <w:jc w:val="left"/>
              <w:rPr>
                <w:rFonts w:ascii="STFangsong" w:eastAsia="STFangsong"/>
                <w:sz w:val="21"/>
              </w:rPr>
            </w:pPr>
            <w:r>
              <w:rPr>
                <w:rFonts w:ascii="STFangsong" w:hAnsi="STFangsong" w:eastAsia="STFangsong"/>
                <w:b w:val="0"/>
                <w:color w:val="000000"/>
                <w:sz w:val="21"/>
              </w:rPr>
              <w:t>造价 −10%</w:t>
            </w:r>
          </w:p>
        </w:tc>
        <w:tc>
          <w:tcPr>
            <w:tcW w:w="0" w:type="auto"/>
            <w:tcMar>
              <w:top w:w="70" w:type="dxa"/>
              <w:left w:w="80" w:type="dxa"/>
              <w:bottom w:w="70" w:type="dxa"/>
              <w:right w:w="80" w:type="dxa"/>
            </w:tcMar>
            <w:vAlign w:val="center"/>
          </w:tcPr>
          <w:p w14:paraId="55AA9F0A">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6,967.1</w:t>
            </w:r>
          </w:p>
        </w:tc>
        <w:tc>
          <w:tcPr>
            <w:tcW w:w="0" w:type="auto"/>
            <w:tcMar>
              <w:top w:w="70" w:type="dxa"/>
              <w:left w:w="80" w:type="dxa"/>
              <w:bottom w:w="70" w:type="dxa"/>
              <w:right w:w="80" w:type="dxa"/>
            </w:tcMar>
            <w:vAlign w:val="center"/>
          </w:tcPr>
          <w:p w14:paraId="5B09A756">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7.41%</w:t>
            </w:r>
          </w:p>
        </w:tc>
        <w:tc>
          <w:tcPr>
            <w:tcW w:w="0" w:type="auto"/>
            <w:tcMar>
              <w:top w:w="70" w:type="dxa"/>
              <w:left w:w="80" w:type="dxa"/>
              <w:bottom w:w="70" w:type="dxa"/>
              <w:right w:w="80" w:type="dxa"/>
            </w:tcMar>
            <w:vAlign w:val="center"/>
          </w:tcPr>
          <w:p w14:paraId="55C196F6">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5,552.2</w:t>
            </w:r>
          </w:p>
        </w:tc>
        <w:tc>
          <w:tcPr>
            <w:tcW w:w="1351" w:type="dxa"/>
            <w:tcMar>
              <w:top w:w="70" w:type="dxa"/>
              <w:left w:w="80" w:type="dxa"/>
              <w:bottom w:w="70" w:type="dxa"/>
              <w:right w:w="80" w:type="dxa"/>
            </w:tcMar>
            <w:vAlign w:val="center"/>
          </w:tcPr>
          <w:p w14:paraId="5BE89AF8">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22.32%</w:t>
            </w:r>
          </w:p>
        </w:tc>
      </w:tr>
      <w:tr w14:paraId="3D848246">
        <w:trPr>
          <w:trHeight w:val="0" w:hRule="atLeast"/>
          <w:jc w:val="center"/>
        </w:trPr>
        <w:tc>
          <w:tcPr>
            <w:tcW w:w="3121" w:type="dxa"/>
            <w:tcMar>
              <w:top w:w="70" w:type="dxa"/>
              <w:left w:w="80" w:type="dxa"/>
              <w:bottom w:w="70" w:type="dxa"/>
              <w:right w:w="80" w:type="dxa"/>
            </w:tcMar>
            <w:vAlign w:val="center"/>
          </w:tcPr>
          <w:p w14:paraId="5A824EDE">
            <w:pPr>
              <w:keepNext/>
              <w:snapToGrid w:val="0"/>
              <w:spacing w:before="0" w:after="0" w:line="240" w:lineRule="auto"/>
              <w:ind w:left="0" w:leftChars="0" w:right="0" w:rightChars="0" w:firstLine="0" w:firstLineChars="0"/>
              <w:jc w:val="left"/>
              <w:rPr>
                <w:rFonts w:ascii="STFangsong" w:eastAsia="STFangsong"/>
                <w:sz w:val="21"/>
              </w:rPr>
            </w:pPr>
            <w:r>
              <w:rPr>
                <w:rFonts w:ascii="STFangsong" w:hAnsi="STFangsong" w:eastAsia="STFangsong"/>
                <w:b w:val="0"/>
                <w:color w:val="000000"/>
                <w:sz w:val="21"/>
              </w:rPr>
              <w:t>电池衰减 0%(不衰减)</w:t>
            </w:r>
          </w:p>
        </w:tc>
        <w:tc>
          <w:tcPr>
            <w:tcW w:w="0" w:type="auto"/>
            <w:tcMar>
              <w:top w:w="70" w:type="dxa"/>
              <w:left w:w="80" w:type="dxa"/>
              <w:bottom w:w="70" w:type="dxa"/>
              <w:right w:w="80" w:type="dxa"/>
            </w:tcMar>
            <w:vAlign w:val="center"/>
          </w:tcPr>
          <w:p w14:paraId="37088CA5">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6,985.3</w:t>
            </w:r>
          </w:p>
        </w:tc>
        <w:tc>
          <w:tcPr>
            <w:tcW w:w="0" w:type="auto"/>
            <w:tcMar>
              <w:top w:w="70" w:type="dxa"/>
              <w:left w:w="80" w:type="dxa"/>
              <w:bottom w:w="70" w:type="dxa"/>
              <w:right w:w="80" w:type="dxa"/>
            </w:tcMar>
            <w:vAlign w:val="center"/>
          </w:tcPr>
          <w:p w14:paraId="78C710F5">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7.00%</w:t>
            </w:r>
          </w:p>
        </w:tc>
        <w:tc>
          <w:tcPr>
            <w:tcW w:w="0" w:type="auto"/>
            <w:tcMar>
              <w:top w:w="70" w:type="dxa"/>
              <w:left w:w="80" w:type="dxa"/>
              <w:bottom w:w="70" w:type="dxa"/>
              <w:right w:w="80" w:type="dxa"/>
            </w:tcMar>
            <w:vAlign w:val="center"/>
          </w:tcPr>
          <w:p w14:paraId="09265F76">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5,419.7</w:t>
            </w:r>
          </w:p>
        </w:tc>
        <w:tc>
          <w:tcPr>
            <w:tcW w:w="1351" w:type="dxa"/>
            <w:tcMar>
              <w:top w:w="70" w:type="dxa"/>
              <w:left w:w="80" w:type="dxa"/>
              <w:bottom w:w="70" w:type="dxa"/>
              <w:right w:w="80" w:type="dxa"/>
            </w:tcMar>
            <w:vAlign w:val="center"/>
          </w:tcPr>
          <w:p w14:paraId="77559677">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19.77%</w:t>
            </w:r>
          </w:p>
        </w:tc>
      </w:tr>
      <w:tr w14:paraId="038B64EC">
        <w:trPr>
          <w:trHeight w:val="0" w:hRule="atLeast"/>
          <w:jc w:val="center"/>
        </w:trPr>
        <w:tc>
          <w:tcPr>
            <w:tcW w:w="3121" w:type="dxa"/>
            <w:tcMar>
              <w:top w:w="70" w:type="dxa"/>
              <w:left w:w="80" w:type="dxa"/>
              <w:bottom w:w="70" w:type="dxa"/>
              <w:right w:w="80" w:type="dxa"/>
            </w:tcMar>
            <w:vAlign w:val="center"/>
          </w:tcPr>
          <w:p w14:paraId="12134ABA">
            <w:pPr>
              <w:keepNext/>
              <w:snapToGrid w:val="0"/>
              <w:spacing w:before="0" w:after="0" w:line="240" w:lineRule="auto"/>
              <w:ind w:left="0" w:leftChars="0" w:right="0" w:rightChars="0" w:firstLine="0" w:firstLineChars="0"/>
              <w:jc w:val="left"/>
              <w:rPr>
                <w:rFonts w:ascii="STFangsong" w:eastAsia="STFangsong"/>
                <w:sz w:val="21"/>
              </w:rPr>
            </w:pPr>
            <w:r>
              <w:rPr>
                <w:rFonts w:ascii="STFangsong" w:hAnsi="STFangsong" w:eastAsia="STFangsong"/>
                <w:b w:val="0"/>
                <w:color w:val="000000"/>
                <w:sz w:val="21"/>
              </w:rPr>
              <w:t>电池衰减 4%(加剧)</w:t>
            </w:r>
          </w:p>
        </w:tc>
        <w:tc>
          <w:tcPr>
            <w:tcW w:w="0" w:type="auto"/>
            <w:tcMar>
              <w:top w:w="70" w:type="dxa"/>
              <w:left w:w="80" w:type="dxa"/>
              <w:bottom w:w="70" w:type="dxa"/>
              <w:right w:w="80" w:type="dxa"/>
            </w:tcMar>
            <w:vAlign w:val="center"/>
          </w:tcPr>
          <w:p w14:paraId="662DCB52">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56.7</w:t>
            </w:r>
          </w:p>
        </w:tc>
        <w:tc>
          <w:tcPr>
            <w:tcW w:w="0" w:type="auto"/>
            <w:tcMar>
              <w:top w:w="70" w:type="dxa"/>
              <w:left w:w="80" w:type="dxa"/>
              <w:bottom w:w="70" w:type="dxa"/>
              <w:right w:w="80" w:type="dxa"/>
            </w:tcMar>
            <w:vAlign w:val="center"/>
          </w:tcPr>
          <w:p w14:paraId="396D87B6">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4.00%</w:t>
            </w:r>
          </w:p>
        </w:tc>
        <w:tc>
          <w:tcPr>
            <w:tcW w:w="0" w:type="auto"/>
            <w:tcMar>
              <w:top w:w="70" w:type="dxa"/>
              <w:left w:w="80" w:type="dxa"/>
              <w:bottom w:w="70" w:type="dxa"/>
              <w:right w:w="80" w:type="dxa"/>
            </w:tcMar>
            <w:vAlign w:val="center"/>
          </w:tcPr>
          <w:p w14:paraId="12AE1C20">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756.4</w:t>
            </w:r>
          </w:p>
        </w:tc>
        <w:tc>
          <w:tcPr>
            <w:tcW w:w="1351" w:type="dxa"/>
            <w:tcMar>
              <w:top w:w="70" w:type="dxa"/>
              <w:left w:w="80" w:type="dxa"/>
              <w:bottom w:w="70" w:type="dxa"/>
              <w:right w:w="80" w:type="dxa"/>
            </w:tcMar>
            <w:vAlign w:val="center"/>
          </w:tcPr>
          <w:p w14:paraId="1A8D5E32">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10.31%</w:t>
            </w:r>
          </w:p>
        </w:tc>
      </w:tr>
      <w:tr w14:paraId="7422559F">
        <w:trPr>
          <w:trHeight w:val="0" w:hRule="atLeast"/>
          <w:jc w:val="center"/>
        </w:trPr>
        <w:tc>
          <w:tcPr>
            <w:tcW w:w="3121" w:type="dxa"/>
            <w:tcMar>
              <w:top w:w="70" w:type="dxa"/>
              <w:left w:w="80" w:type="dxa"/>
              <w:bottom w:w="70" w:type="dxa"/>
              <w:right w:w="80" w:type="dxa"/>
            </w:tcMar>
            <w:vAlign w:val="center"/>
          </w:tcPr>
          <w:p w14:paraId="0B74F232">
            <w:pPr>
              <w:keepNext/>
              <w:snapToGrid w:val="0"/>
              <w:spacing w:before="0" w:after="0" w:line="240" w:lineRule="auto"/>
              <w:ind w:left="0" w:leftChars="0" w:right="0" w:rightChars="0" w:firstLine="0" w:firstLineChars="0"/>
              <w:jc w:val="left"/>
              <w:rPr>
                <w:rFonts w:ascii="STFangsong" w:eastAsia="STFangsong"/>
                <w:sz w:val="21"/>
              </w:rPr>
            </w:pPr>
            <w:r>
              <w:rPr>
                <w:rFonts w:ascii="STFangsong" w:hAnsi="STFangsong" w:eastAsia="STFangsong"/>
                <w:b w:val="0"/>
                <w:color w:val="000000"/>
                <w:sz w:val="21"/>
              </w:rPr>
              <w:t>经营收益 +20%(容量补偿不变)</w:t>
            </w:r>
          </w:p>
        </w:tc>
        <w:tc>
          <w:tcPr>
            <w:tcW w:w="0" w:type="auto"/>
            <w:tcMar>
              <w:top w:w="70" w:type="dxa"/>
              <w:left w:w="80" w:type="dxa"/>
              <w:bottom w:w="70" w:type="dxa"/>
              <w:right w:w="80" w:type="dxa"/>
            </w:tcMar>
            <w:vAlign w:val="center"/>
          </w:tcPr>
          <w:p w14:paraId="627ADB0D">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10,489.4</w:t>
            </w:r>
          </w:p>
        </w:tc>
        <w:tc>
          <w:tcPr>
            <w:tcW w:w="0" w:type="auto"/>
            <w:tcMar>
              <w:top w:w="70" w:type="dxa"/>
              <w:left w:w="80" w:type="dxa"/>
              <w:bottom w:w="70" w:type="dxa"/>
              <w:right w:w="80" w:type="dxa"/>
            </w:tcMar>
            <w:vAlign w:val="center"/>
          </w:tcPr>
          <w:p w14:paraId="115C0FB2">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8.57%</w:t>
            </w:r>
          </w:p>
        </w:tc>
        <w:tc>
          <w:tcPr>
            <w:tcW w:w="0" w:type="auto"/>
            <w:tcMar>
              <w:top w:w="70" w:type="dxa"/>
              <w:left w:w="80" w:type="dxa"/>
              <w:bottom w:w="70" w:type="dxa"/>
              <w:right w:w="80" w:type="dxa"/>
            </w:tcMar>
            <w:vAlign w:val="center"/>
          </w:tcPr>
          <w:p w14:paraId="0011726F">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8,163.4</w:t>
            </w:r>
          </w:p>
        </w:tc>
        <w:tc>
          <w:tcPr>
            <w:tcW w:w="1351" w:type="dxa"/>
            <w:tcMar>
              <w:top w:w="70" w:type="dxa"/>
              <w:left w:w="80" w:type="dxa"/>
              <w:bottom w:w="70" w:type="dxa"/>
              <w:right w:w="80" w:type="dxa"/>
            </w:tcMar>
            <w:vAlign w:val="center"/>
          </w:tcPr>
          <w:p w14:paraId="73F34C54">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26.14%</w:t>
            </w:r>
          </w:p>
        </w:tc>
      </w:tr>
      <w:tr w14:paraId="4D605844">
        <w:trPr>
          <w:trHeight w:val="0" w:hRule="atLeast"/>
          <w:jc w:val="center"/>
        </w:trPr>
        <w:tc>
          <w:tcPr>
            <w:tcW w:w="3121" w:type="dxa"/>
            <w:tcMar>
              <w:top w:w="70" w:type="dxa"/>
              <w:left w:w="80" w:type="dxa"/>
              <w:bottom w:w="70" w:type="dxa"/>
              <w:right w:w="80" w:type="dxa"/>
            </w:tcMar>
            <w:vAlign w:val="center"/>
          </w:tcPr>
          <w:p w14:paraId="3890C2B6">
            <w:pPr>
              <w:keepNext/>
              <w:snapToGrid w:val="0"/>
              <w:spacing w:before="0" w:after="0" w:line="240" w:lineRule="auto"/>
              <w:ind w:left="0" w:leftChars="0" w:right="0" w:rightChars="0" w:firstLine="0" w:firstLineChars="0"/>
              <w:jc w:val="left"/>
              <w:rPr>
                <w:rFonts w:ascii="STFangsong" w:eastAsia="STFangsong"/>
                <w:sz w:val="21"/>
              </w:rPr>
            </w:pPr>
            <w:r>
              <w:rPr>
                <w:rFonts w:ascii="STFangsong" w:hAnsi="STFangsong" w:eastAsia="STFangsong"/>
                <w:b w:val="0"/>
                <w:color w:val="000000"/>
                <w:sz w:val="21"/>
              </w:rPr>
              <w:t>经营收益 −20%(容量补偿不变)</w:t>
            </w:r>
          </w:p>
        </w:tc>
        <w:tc>
          <w:tcPr>
            <w:tcW w:w="1491" w:type="dxa"/>
            <w:tcMar>
              <w:top w:w="70" w:type="dxa"/>
              <w:left w:w="80" w:type="dxa"/>
              <w:bottom w:w="70" w:type="dxa"/>
              <w:right w:w="80" w:type="dxa"/>
            </w:tcMar>
            <w:vAlign w:val="center"/>
          </w:tcPr>
          <w:p w14:paraId="1A1D5BD2">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-3,447.5</w:t>
            </w:r>
          </w:p>
        </w:tc>
        <w:tc>
          <w:tcPr>
            <w:tcW w:w="1349" w:type="dxa"/>
            <w:tcMar>
              <w:top w:w="70" w:type="dxa"/>
              <w:left w:w="80" w:type="dxa"/>
              <w:bottom w:w="70" w:type="dxa"/>
              <w:right w:w="80" w:type="dxa"/>
            </w:tcMar>
            <w:vAlign w:val="center"/>
          </w:tcPr>
          <w:p w14:paraId="2B32B5C6">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2.34%</w:t>
            </w:r>
          </w:p>
        </w:tc>
        <w:tc>
          <w:tcPr>
            <w:tcW w:w="1491" w:type="dxa"/>
            <w:tcMar>
              <w:top w:w="70" w:type="dxa"/>
              <w:left w:w="80" w:type="dxa"/>
              <w:bottom w:w="70" w:type="dxa"/>
              <w:right w:w="80" w:type="dxa"/>
            </w:tcMar>
            <w:vAlign w:val="center"/>
          </w:tcPr>
          <w:p w14:paraId="361E6FE2">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-1,976.8</w:t>
            </w:r>
          </w:p>
        </w:tc>
        <w:tc>
          <w:tcPr>
            <w:tcW w:w="1351" w:type="dxa"/>
            <w:tcMar>
              <w:top w:w="70" w:type="dxa"/>
              <w:left w:w="80" w:type="dxa"/>
              <w:bottom w:w="70" w:type="dxa"/>
              <w:right w:w="80" w:type="dxa"/>
            </w:tcMar>
            <w:vAlign w:val="center"/>
          </w:tcPr>
          <w:p w14:paraId="1F8955D3">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2.53%</w:t>
            </w:r>
          </w:p>
        </w:tc>
      </w:tr>
    </w:tbl>
    <w:p w14:paraId="73CC5A00">
      <w:pPr>
        <w:keepNext/>
        <w:spacing w:before="80" w:after="0" w:line="240" w:lineRule="auto"/>
        <w:ind w:left="0" w:leftChars="0" w:firstLine="0" w:firstLineChars="0"/>
        <w:jc w:val="both"/>
      </w:pPr>
      <w:r>
        <w:drawing>
          <wp:inline distT="0" distB="0" distL="114300" distR="114300">
            <wp:extent cx="5486400" cy="3007360"/>
            <wp:effectExtent l="0" t="0" r="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486400" cy="3007586"/>
                    </a:xfrm>
                    <a:prstGeom prst="rect">
                      <a:avLst/>
                    </a:prstGeom>
                  </pic:spPr>
                </pic:pic>
              </a:graphicData>
            </a:graphic>
          </wp:inline>
        </w:drawing>
      </w:r>
    </w:p>
    <w:p w14:paraId="110446C8">
      <w:pPr>
        <w:spacing w:before="0" w:after="80" w:line="440" w:lineRule="exact"/>
        <w:ind w:left="0" w:leftChars="0" w:firstLine="0" w:firstLineChars="0"/>
        <w:jc w:val="center"/>
      </w:pPr>
      <w:r>
        <w:rPr>
          <w:rFonts w:hint="eastAsia" w:ascii="楷体_GB2312" w:hAnsi="楷体_GB2312" w:eastAsia="楷体_GB2312" w:cs="楷体_GB2312"/>
          <w:b w:val="0"/>
          <w:color w:val="000000"/>
          <w:sz w:val="28"/>
        </w:rPr>
        <w:t>图8-1  关键敏感性分析</w:t>
      </w:r>
    </w:p>
    <w:p w14:paraId="465BFC13">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造价、经营收益和电池衰减变化对应的全投资及资本金结果见上表。该组结果用于反映基准参数变化时财务指标的变化幅度。</w:t>
      </w:r>
    </w:p>
    <w:p w14:paraId="47E9C480">
      <w:pPr>
        <w:pStyle w:val="3"/>
        <w:jc w:val="both"/>
        <w:rPr>
          <w:rFonts w:hint="eastAsia" w:ascii="黑体" w:hAnsi="黑体" w:eastAsia="黑体" w:cs="黑体"/>
        </w:rPr>
      </w:pPr>
      <w:r>
        <w:rPr>
          <w:rFonts w:hint="eastAsia" w:ascii="黑体" w:hAnsi="黑体" w:eastAsia="黑体" w:cs="黑体"/>
        </w:rPr>
        <w:t>九、主要不确定性与测算范围</w:t>
      </w:r>
    </w:p>
    <w:tbl>
      <w:tblPr>
        <w:tblStyle w:val="33"/>
        <w:tblW w:w="87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0"/>
        <w:gridCol w:w="3876"/>
        <w:gridCol w:w="3394"/>
      </w:tblGrid>
      <w:tr w14:paraId="152CDD21">
        <w:trPr>
          <w:trHeight w:val="0" w:hRule="atLeast"/>
          <w:tblHeader/>
          <w:jc w:val="center"/>
        </w:trPr>
        <w:tc>
          <w:tcPr>
            <w:tcW w:w="1460" w:type="dxa"/>
            <w:tcMar>
              <w:top w:w="70" w:type="dxa"/>
              <w:left w:w="80" w:type="dxa"/>
              <w:bottom w:w="70" w:type="dxa"/>
              <w:right w:w="80" w:type="dxa"/>
            </w:tcMar>
            <w:vAlign w:val="center"/>
          </w:tcPr>
          <w:p w14:paraId="003FDB63">
            <w:pPr>
              <w:keepNext/>
              <w:snapToGrid w:val="0"/>
              <w:spacing w:before="0" w:after="0" w:line="240" w:lineRule="auto"/>
              <w:ind w:left="0" w:leftChars="0" w:right="0" w:rightChars="0" w:firstLine="0" w:firstLineChars="0"/>
              <w:jc w:val="center"/>
              <w:rPr>
                <w:rFonts w:ascii="Heiti SC" w:eastAsia="Heiti SC"/>
                <w:b/>
                <w:sz w:val="21"/>
              </w:rPr>
            </w:pPr>
            <w:r>
              <w:rPr>
                <w:rFonts w:ascii="Heiti SC" w:hAnsi="Heiti SC" w:eastAsia="Heiti SC"/>
                <w:b/>
                <w:color w:val="000000"/>
                <w:sz w:val="21"/>
              </w:rPr>
              <w:t>事项</w:t>
            </w:r>
          </w:p>
        </w:tc>
        <w:tc>
          <w:tcPr>
            <w:tcW w:w="3876" w:type="dxa"/>
            <w:tcMar>
              <w:top w:w="70" w:type="dxa"/>
              <w:left w:w="80" w:type="dxa"/>
              <w:bottom w:w="70" w:type="dxa"/>
              <w:right w:w="80" w:type="dxa"/>
            </w:tcMar>
            <w:vAlign w:val="center"/>
          </w:tcPr>
          <w:p w14:paraId="5D159B4B">
            <w:pPr>
              <w:keepNext/>
              <w:snapToGrid w:val="0"/>
              <w:spacing w:before="0" w:after="0" w:line="240" w:lineRule="auto"/>
              <w:ind w:left="0" w:leftChars="0" w:right="0" w:rightChars="0" w:firstLine="0" w:firstLineChars="0"/>
              <w:jc w:val="center"/>
              <w:rPr>
                <w:rFonts w:ascii="Heiti SC" w:eastAsia="Heiti SC"/>
                <w:b/>
                <w:sz w:val="21"/>
              </w:rPr>
            </w:pPr>
            <w:r>
              <w:rPr>
                <w:rFonts w:ascii="Heiti SC" w:hAnsi="Heiti SC" w:eastAsia="Heiti SC"/>
                <w:b/>
                <w:color w:val="000000"/>
                <w:sz w:val="21"/>
              </w:rPr>
              <w:t>当前采用口径</w:t>
            </w:r>
          </w:p>
        </w:tc>
        <w:tc>
          <w:tcPr>
            <w:tcW w:w="3394" w:type="dxa"/>
            <w:tcMar>
              <w:top w:w="70" w:type="dxa"/>
              <w:left w:w="80" w:type="dxa"/>
              <w:bottom w:w="70" w:type="dxa"/>
              <w:right w:w="80" w:type="dxa"/>
            </w:tcMar>
            <w:vAlign w:val="center"/>
          </w:tcPr>
          <w:p w14:paraId="3A9E50AD">
            <w:pPr>
              <w:keepNext/>
              <w:snapToGrid w:val="0"/>
              <w:spacing w:before="0" w:after="0" w:line="240" w:lineRule="auto"/>
              <w:ind w:left="0" w:leftChars="0" w:right="0" w:rightChars="0" w:firstLine="0" w:firstLineChars="0"/>
              <w:jc w:val="center"/>
              <w:rPr>
                <w:rFonts w:ascii="Heiti SC" w:eastAsia="Heiti SC"/>
                <w:b/>
                <w:sz w:val="21"/>
              </w:rPr>
            </w:pPr>
            <w:r>
              <w:rPr>
                <w:rFonts w:ascii="Heiti SC" w:hAnsi="Heiti SC" w:eastAsia="Heiti SC"/>
                <w:b/>
                <w:color w:val="000000"/>
                <w:sz w:val="21"/>
              </w:rPr>
              <w:t>对测算结果的影响</w:t>
            </w:r>
          </w:p>
        </w:tc>
      </w:tr>
      <w:tr w14:paraId="5065066A">
        <w:trPr>
          <w:trHeight w:val="0" w:hRule="atLeast"/>
          <w:jc w:val="center"/>
        </w:trPr>
        <w:tc>
          <w:tcPr>
            <w:tcW w:w="1460" w:type="dxa"/>
            <w:tcMar>
              <w:top w:w="70" w:type="dxa"/>
              <w:left w:w="80" w:type="dxa"/>
              <w:bottom w:w="70" w:type="dxa"/>
              <w:right w:w="80" w:type="dxa"/>
            </w:tcMar>
            <w:vAlign w:val="center"/>
          </w:tcPr>
          <w:p w14:paraId="493E8F01">
            <w:pPr>
              <w:keepNext/>
              <w:snapToGrid w:val="0"/>
              <w:spacing w:before="0" w:after="0" w:line="240" w:lineRule="auto"/>
              <w:ind w:left="0" w:leftChars="0" w:right="0" w:rightChars="0" w:firstLine="0" w:firstLineChars="0"/>
              <w:jc w:val="left"/>
              <w:rPr>
                <w:rFonts w:ascii="STFangsong" w:eastAsia="STFangsong"/>
                <w:sz w:val="21"/>
              </w:rPr>
            </w:pPr>
            <w:r>
              <w:rPr>
                <w:rFonts w:ascii="STFangsong" w:hAnsi="STFangsong" w:eastAsia="STFangsong"/>
                <w:b w:val="0"/>
                <w:color w:val="000000"/>
                <w:sz w:val="21"/>
              </w:rPr>
              <w:t>市场收益</w:t>
            </w:r>
          </w:p>
        </w:tc>
        <w:tc>
          <w:tcPr>
            <w:tcW w:w="3876" w:type="dxa"/>
            <w:tcMar>
              <w:top w:w="70" w:type="dxa"/>
              <w:left w:w="80" w:type="dxa"/>
              <w:bottom w:w="70" w:type="dxa"/>
              <w:right w:w="80" w:type="dxa"/>
            </w:tcMar>
            <w:vAlign w:val="center"/>
          </w:tcPr>
          <w:p w14:paraId="6BE72635">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采用一个完整年度的日前预测、实时市场价格和实际发电数据</w:t>
            </w:r>
          </w:p>
        </w:tc>
        <w:tc>
          <w:tcPr>
            <w:tcW w:w="3394" w:type="dxa"/>
            <w:tcMar>
              <w:top w:w="70" w:type="dxa"/>
              <w:left w:w="80" w:type="dxa"/>
              <w:bottom w:w="70" w:type="dxa"/>
              <w:right w:w="80" w:type="dxa"/>
            </w:tcMar>
            <w:vAlign w:val="center"/>
          </w:tcPr>
          <w:p w14:paraId="3BE31860">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价格结构及预测误差变化会改变套利机会和结算收入</w:t>
            </w:r>
          </w:p>
        </w:tc>
      </w:tr>
      <w:tr w14:paraId="6FCF575B">
        <w:trPr>
          <w:trHeight w:val="0" w:hRule="atLeast"/>
          <w:jc w:val="center"/>
        </w:trPr>
        <w:tc>
          <w:tcPr>
            <w:tcW w:w="1460" w:type="dxa"/>
            <w:tcMar>
              <w:top w:w="70" w:type="dxa"/>
              <w:left w:w="80" w:type="dxa"/>
              <w:bottom w:w="70" w:type="dxa"/>
              <w:right w:w="80" w:type="dxa"/>
            </w:tcMar>
            <w:vAlign w:val="center"/>
          </w:tcPr>
          <w:p w14:paraId="42866E6C">
            <w:pPr>
              <w:keepNext/>
              <w:snapToGrid w:val="0"/>
              <w:spacing w:before="0" w:after="0" w:line="240" w:lineRule="auto"/>
              <w:ind w:left="0" w:leftChars="0" w:right="0" w:rightChars="0" w:firstLine="0" w:firstLineChars="0"/>
              <w:jc w:val="left"/>
              <w:rPr>
                <w:rFonts w:ascii="STFangsong" w:eastAsia="STFangsong"/>
                <w:sz w:val="21"/>
              </w:rPr>
            </w:pPr>
            <w:r>
              <w:rPr>
                <w:rFonts w:ascii="STFangsong" w:hAnsi="STFangsong" w:eastAsia="STFangsong"/>
                <w:b w:val="0"/>
                <w:color w:val="000000"/>
                <w:sz w:val="21"/>
              </w:rPr>
              <w:t>容量补偿</w:t>
            </w:r>
          </w:p>
        </w:tc>
        <w:tc>
          <w:tcPr>
            <w:tcW w:w="3876" w:type="dxa"/>
            <w:tcMar>
              <w:top w:w="70" w:type="dxa"/>
              <w:left w:w="80" w:type="dxa"/>
              <w:bottom w:w="70" w:type="dxa"/>
              <w:right w:w="80" w:type="dxa"/>
            </w:tcMar>
            <w:vAlign w:val="center"/>
          </w:tcPr>
          <w:p w14:paraId="1ABFD2EC">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3万元/MW·月，有效系数20%</w:t>
            </w:r>
          </w:p>
        </w:tc>
        <w:tc>
          <w:tcPr>
            <w:tcW w:w="3394" w:type="dxa"/>
            <w:tcMar>
              <w:top w:w="70" w:type="dxa"/>
              <w:left w:w="80" w:type="dxa"/>
              <w:bottom w:w="70" w:type="dxa"/>
              <w:right w:w="80" w:type="dxa"/>
            </w:tcMar>
            <w:vAlign w:val="center"/>
          </w:tcPr>
          <w:p w14:paraId="2B2F613F">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补偿标准或有效系数变化会直接改变固定收入</w:t>
            </w:r>
          </w:p>
        </w:tc>
      </w:tr>
      <w:tr w14:paraId="553ADE12">
        <w:trPr>
          <w:trHeight w:val="0" w:hRule="atLeast"/>
          <w:jc w:val="center"/>
        </w:trPr>
        <w:tc>
          <w:tcPr>
            <w:tcW w:w="1460" w:type="dxa"/>
            <w:tcMar>
              <w:top w:w="70" w:type="dxa"/>
              <w:left w:w="80" w:type="dxa"/>
              <w:bottom w:w="70" w:type="dxa"/>
              <w:right w:w="80" w:type="dxa"/>
            </w:tcMar>
            <w:vAlign w:val="center"/>
          </w:tcPr>
          <w:p w14:paraId="2F84E79B">
            <w:pPr>
              <w:keepNext/>
              <w:snapToGrid w:val="0"/>
              <w:spacing w:before="0" w:after="0" w:line="240" w:lineRule="auto"/>
              <w:ind w:left="0" w:leftChars="0" w:right="0" w:rightChars="0" w:firstLine="0" w:firstLineChars="0"/>
              <w:jc w:val="left"/>
              <w:rPr>
                <w:rFonts w:ascii="STFangsong" w:eastAsia="STFangsong"/>
                <w:sz w:val="21"/>
              </w:rPr>
            </w:pPr>
            <w:r>
              <w:rPr>
                <w:rFonts w:ascii="STFangsong" w:hAnsi="STFangsong" w:eastAsia="STFangsong"/>
                <w:b w:val="0"/>
                <w:color w:val="000000"/>
                <w:sz w:val="21"/>
              </w:rPr>
              <w:t>初始造价</w:t>
            </w:r>
          </w:p>
        </w:tc>
        <w:tc>
          <w:tcPr>
            <w:tcW w:w="3876" w:type="dxa"/>
            <w:tcMar>
              <w:top w:w="70" w:type="dxa"/>
              <w:left w:w="80" w:type="dxa"/>
              <w:bottom w:w="70" w:type="dxa"/>
              <w:right w:w="80" w:type="dxa"/>
            </w:tcMar>
            <w:vAlign w:val="center"/>
          </w:tcPr>
          <w:p w14:paraId="6B81EBDB">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电池、土地、PCS及其他投资合计2.61亿元</w:t>
            </w:r>
          </w:p>
        </w:tc>
        <w:tc>
          <w:tcPr>
            <w:tcW w:w="3394" w:type="dxa"/>
            <w:tcMar>
              <w:top w:w="70" w:type="dxa"/>
              <w:left w:w="80" w:type="dxa"/>
              <w:bottom w:w="70" w:type="dxa"/>
              <w:right w:w="80" w:type="dxa"/>
            </w:tcMar>
            <w:vAlign w:val="center"/>
          </w:tcPr>
          <w:p w14:paraId="424338B2">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造价上浮10%时全投资NPV接近零</w:t>
            </w:r>
          </w:p>
        </w:tc>
      </w:tr>
      <w:tr w14:paraId="0F711324">
        <w:trPr>
          <w:trHeight w:val="0" w:hRule="atLeast"/>
          <w:jc w:val="center"/>
        </w:trPr>
        <w:tc>
          <w:tcPr>
            <w:tcW w:w="1460" w:type="dxa"/>
            <w:tcMar>
              <w:top w:w="70" w:type="dxa"/>
              <w:left w:w="80" w:type="dxa"/>
              <w:bottom w:w="70" w:type="dxa"/>
              <w:right w:w="80" w:type="dxa"/>
            </w:tcMar>
            <w:vAlign w:val="center"/>
          </w:tcPr>
          <w:p w14:paraId="02428806">
            <w:pPr>
              <w:keepNext/>
              <w:snapToGrid w:val="0"/>
              <w:spacing w:before="0" w:after="0" w:line="240" w:lineRule="auto"/>
              <w:ind w:left="0" w:leftChars="0" w:right="0" w:rightChars="0" w:firstLine="0" w:firstLineChars="0"/>
              <w:jc w:val="left"/>
              <w:rPr>
                <w:rFonts w:ascii="STFangsong" w:eastAsia="STFangsong"/>
                <w:sz w:val="21"/>
              </w:rPr>
            </w:pPr>
            <w:r>
              <w:rPr>
                <w:rFonts w:ascii="STFangsong" w:hAnsi="STFangsong" w:eastAsia="STFangsong"/>
                <w:b w:val="0"/>
                <w:color w:val="000000"/>
                <w:sz w:val="21"/>
              </w:rPr>
              <w:t>电池衰减与更换</w:t>
            </w:r>
          </w:p>
        </w:tc>
        <w:tc>
          <w:tcPr>
            <w:tcW w:w="3876" w:type="dxa"/>
            <w:tcMar>
              <w:top w:w="70" w:type="dxa"/>
              <w:left w:w="80" w:type="dxa"/>
              <w:bottom w:w="70" w:type="dxa"/>
              <w:right w:w="80" w:type="dxa"/>
            </w:tcMar>
            <w:vAlign w:val="center"/>
          </w:tcPr>
          <w:p w14:paraId="2A58D1A0">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年衰减2%，第10年更换电池</w:t>
            </w:r>
          </w:p>
        </w:tc>
        <w:tc>
          <w:tcPr>
            <w:tcW w:w="3394" w:type="dxa"/>
            <w:tcMar>
              <w:top w:w="70" w:type="dxa"/>
              <w:left w:w="80" w:type="dxa"/>
              <w:bottom w:w="70" w:type="dxa"/>
              <w:right w:w="80" w:type="dxa"/>
            </w:tcMar>
            <w:vAlign w:val="center"/>
          </w:tcPr>
          <w:p w14:paraId="74C161A6">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衰减速度及更换成本改变中后期现金流</w:t>
            </w:r>
          </w:p>
        </w:tc>
      </w:tr>
      <w:tr w14:paraId="4C9EA44D">
        <w:trPr>
          <w:trHeight w:val="0" w:hRule="atLeast"/>
          <w:jc w:val="center"/>
        </w:trPr>
        <w:tc>
          <w:tcPr>
            <w:tcW w:w="1460" w:type="dxa"/>
            <w:tcMar>
              <w:top w:w="70" w:type="dxa"/>
              <w:left w:w="80" w:type="dxa"/>
              <w:bottom w:w="70" w:type="dxa"/>
              <w:right w:w="80" w:type="dxa"/>
            </w:tcMar>
            <w:vAlign w:val="center"/>
          </w:tcPr>
          <w:p w14:paraId="7D927B6F">
            <w:pPr>
              <w:keepNext/>
              <w:snapToGrid w:val="0"/>
              <w:spacing w:before="0" w:after="0" w:line="240" w:lineRule="auto"/>
              <w:ind w:left="0" w:leftChars="0" w:right="0" w:rightChars="0" w:firstLine="0" w:firstLineChars="0"/>
              <w:jc w:val="left"/>
              <w:rPr>
                <w:rFonts w:ascii="STFangsong" w:eastAsia="STFangsong"/>
                <w:sz w:val="21"/>
              </w:rPr>
            </w:pPr>
            <w:r>
              <w:rPr>
                <w:rFonts w:ascii="STFangsong" w:hAnsi="STFangsong" w:eastAsia="STFangsong"/>
                <w:b w:val="0"/>
                <w:color w:val="000000"/>
                <w:sz w:val="21"/>
              </w:rPr>
              <w:t>税费</w:t>
            </w:r>
          </w:p>
        </w:tc>
        <w:tc>
          <w:tcPr>
            <w:tcW w:w="3876" w:type="dxa"/>
            <w:tcMar>
              <w:top w:w="70" w:type="dxa"/>
              <w:left w:w="80" w:type="dxa"/>
              <w:bottom w:w="70" w:type="dxa"/>
              <w:right w:w="80" w:type="dxa"/>
            </w:tcMar>
            <w:vAlign w:val="center"/>
          </w:tcPr>
          <w:p w14:paraId="55BA96AA">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计入25%所得税</w:t>
            </w:r>
          </w:p>
        </w:tc>
        <w:tc>
          <w:tcPr>
            <w:tcW w:w="3394" w:type="dxa"/>
            <w:tcMar>
              <w:top w:w="70" w:type="dxa"/>
              <w:left w:w="80" w:type="dxa"/>
              <w:bottom w:w="70" w:type="dxa"/>
              <w:right w:w="80" w:type="dxa"/>
            </w:tcMar>
            <w:vAlign w:val="center"/>
          </w:tcPr>
          <w:p w14:paraId="092303C2">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增值税、附加税、保险及可能的税收优惠未完整纳入</w:t>
            </w:r>
          </w:p>
        </w:tc>
      </w:tr>
      <w:tr w14:paraId="69B286ED">
        <w:trPr>
          <w:trHeight w:val="0" w:hRule="atLeast"/>
          <w:jc w:val="center"/>
        </w:trPr>
        <w:tc>
          <w:tcPr>
            <w:tcW w:w="1460" w:type="dxa"/>
            <w:tcMar>
              <w:top w:w="70" w:type="dxa"/>
              <w:left w:w="80" w:type="dxa"/>
              <w:bottom w:w="70" w:type="dxa"/>
              <w:right w:w="80" w:type="dxa"/>
            </w:tcMar>
            <w:vAlign w:val="center"/>
          </w:tcPr>
          <w:p w14:paraId="7BDEF356">
            <w:pPr>
              <w:keepNext/>
              <w:snapToGrid w:val="0"/>
              <w:spacing w:before="0" w:after="0" w:line="240" w:lineRule="auto"/>
              <w:ind w:left="0" w:leftChars="0" w:right="0" w:rightChars="0" w:firstLine="0" w:firstLineChars="0"/>
              <w:jc w:val="left"/>
              <w:rPr>
                <w:rFonts w:ascii="STFangsong" w:eastAsia="STFangsong"/>
                <w:sz w:val="21"/>
              </w:rPr>
            </w:pPr>
            <w:r>
              <w:rPr>
                <w:rFonts w:ascii="STFangsong" w:hAnsi="STFangsong" w:eastAsia="STFangsong"/>
                <w:b w:val="0"/>
                <w:color w:val="000000"/>
                <w:sz w:val="21"/>
              </w:rPr>
              <w:t>数据代表性</w:t>
            </w:r>
          </w:p>
        </w:tc>
        <w:tc>
          <w:tcPr>
            <w:tcW w:w="3876" w:type="dxa"/>
            <w:tcMar>
              <w:top w:w="70" w:type="dxa"/>
              <w:left w:w="80" w:type="dxa"/>
              <w:bottom w:w="70" w:type="dxa"/>
              <w:right w:w="80" w:type="dxa"/>
            </w:tcMar>
            <w:vAlign w:val="center"/>
          </w:tcPr>
          <w:p w14:paraId="79CEBC87">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一年数据代表首年运行；后续收益按容量衰减比例折算</w:t>
            </w:r>
          </w:p>
        </w:tc>
        <w:tc>
          <w:tcPr>
            <w:tcW w:w="3394" w:type="dxa"/>
            <w:tcMar>
              <w:top w:w="70" w:type="dxa"/>
              <w:left w:w="80" w:type="dxa"/>
              <w:bottom w:w="70" w:type="dxa"/>
              <w:right w:w="80" w:type="dxa"/>
            </w:tcMar>
            <w:vAlign w:val="center"/>
          </w:tcPr>
          <w:p w14:paraId="63D448D5">
            <w:pPr>
              <w:keepNext/>
              <w:snapToGrid w:val="0"/>
              <w:spacing w:before="0" w:after="0" w:line="240" w:lineRule="auto"/>
              <w:ind w:left="0" w:leftChars="0" w:right="0" w:rightChars="0" w:firstLine="0" w:firstLineChars="0"/>
              <w:jc w:val="right"/>
              <w:rPr>
                <w:rFonts w:ascii="STFangsong" w:eastAsia="STFangsong"/>
                <w:sz w:val="21"/>
              </w:rPr>
            </w:pPr>
            <w:r>
              <w:rPr>
                <w:rFonts w:ascii="STFangsong" w:hAnsi="STFangsong" w:eastAsia="STFangsong"/>
                <w:b w:val="0"/>
                <w:color w:val="000000"/>
                <w:sz w:val="21"/>
              </w:rPr>
              <w:t>未覆盖多年度市场价格结构和逐年重新调度差异</w:t>
            </w:r>
          </w:p>
        </w:tc>
      </w:tr>
    </w:tbl>
    <w:p w14:paraId="25D21F6A">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市场收益、造价和电池衰减是敏感性测算中影响幅度较大的变量。容量补偿构成首年收入的一部分，其政策标准和有效系数直接影响固定收益。当前财务口径未完整包含增值税、附加税、保险、建设期资金成本和多年度价格情景，因此报告数值仅对应已列明参数及数据范围。</w:t>
      </w:r>
    </w:p>
    <w:p w14:paraId="13CF6352">
      <w:pPr>
        <w:pStyle w:val="3"/>
        <w:jc w:val="both"/>
      </w:pPr>
      <w:r>
        <w:t>十、测算结论与适用范围</w:t>
      </w:r>
    </w:p>
    <w:p w14:paraId="77EF3D29">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100MW/400MWh方案在当前参数下初始总投资为26,100.0万元，首年总收入为4,057.3万元；全投资NPV为3,521.0万元、IRR为5.58%，资本金NPV为3,106.5万元、IRR为15.80%。</w:t>
      </w:r>
    </w:p>
    <w:p w14:paraId="3DFEA922">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配储后，项目整体上网电量增加11,242.2MWh，整体上网利用小时增加23.42小时；限电量减少17,284.2MWh，限电比例下降2.65个百分点。按配储后净上网曲线加权的实时市场平均结算电价为199.20元/MWh；计入抵厂用电收益和容量补偿后的综合平均结算电价为208.69元/MWh。储能首年增量收入除以配储后项目整体上网电量，等效收益单价提升71.56元/MWh。</w:t>
      </w:r>
    </w:p>
    <w:p w14:paraId="23EAAD13">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本报告的结论限于方案A调度规则、当前成本与融资参数以及2025年7月30日至2026年7月29日样本。报告仅陈述测算事实，不形成投资方向判断。</w:t>
      </w:r>
    </w:p>
    <w:p w14:paraId="5EDFB606">
      <w:pPr>
        <w:pStyle w:val="3"/>
        <w:jc w:val="both"/>
      </w:pPr>
    </w:p>
    <w:p w14:paraId="2091FB6C">
      <w:pPr>
        <w:rPr>
          <w:rFonts w:hint="eastAsia" w:ascii="黑体" w:hAnsi="黑体" w:eastAsia="黑体" w:cs="黑体"/>
          <w:b w:val="0"/>
          <w:bCs/>
        </w:rPr>
      </w:pPr>
      <w:r>
        <w:rPr>
          <w:rFonts w:hint="eastAsia" w:ascii="黑体" w:hAnsi="黑体" w:eastAsia="黑体" w:cs="黑体"/>
          <w:b w:val="0"/>
          <w:bCs/>
        </w:rPr>
        <w:br w:type="page"/>
      </w:r>
    </w:p>
    <w:p w14:paraId="2F1293E3">
      <w:pPr>
        <w:pStyle w:val="3"/>
        <w:jc w:val="both"/>
        <w:rPr>
          <w:rFonts w:hint="eastAsia" w:ascii="黑体" w:hAnsi="黑体" w:eastAsia="黑体" w:cs="黑体"/>
          <w:b w:val="0"/>
          <w:bCs/>
        </w:rPr>
      </w:pPr>
      <w:r>
        <w:rPr>
          <w:rFonts w:hint="eastAsia" w:ascii="黑体" w:hAnsi="黑体" w:eastAsia="黑体" w:cs="黑体"/>
          <w:b w:val="0"/>
          <w:bCs/>
        </w:rPr>
        <w:t>附录  主要测算口径与资料来源</w:t>
      </w:r>
    </w:p>
    <w:p w14:paraId="4EEA9C88">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1. 项目期20年；电池年衰减2%，第10年更换电池，第11年容量重置。</w:t>
      </w:r>
    </w:p>
    <w:p w14:paraId="158B629C">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2. 初始贷款比例70%、利率3%、期限15年；更换电池贷款期限7年。</w:t>
      </w:r>
    </w:p>
    <w:p w14:paraId="2DB3CE17">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3. 电池50万元/MWh、土地3.5万元/MWh、PCS 27万元/MW、其他20万元/MW。</w:t>
      </w:r>
    </w:p>
    <w:p w14:paraId="51123F01">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4. WACC为3.98%，资本金折现率为8%，所得税率为25%，年生产费用为初始投资1%。</w:t>
      </w:r>
    </w:p>
    <w:p w14:paraId="34DA8127">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5. 调度采用方案A，计划使用预测电价和预测发电量，结算采用实时市场电价和实际执行量。</w:t>
      </w:r>
    </w:p>
    <w:p w14:paraId="0AC72264">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6. 限电电量仅用于限电指标计算，不作为充电资格限制。</w:t>
      </w:r>
    </w:p>
    <w:p w14:paraId="3B7C10B2">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7. 数据来源为阜山龙源光伏电站15分钟功率数据、日前预测价格、实时市场价格、执行调度结果及项目全网格测算结果。</w:t>
      </w:r>
    </w:p>
    <w:p w14:paraId="5D888E53">
      <w:pPr>
        <w:pStyle w:val="4"/>
        <w:jc w:val="both"/>
        <w:rPr>
          <w:rFonts w:hint="eastAsia" w:ascii="楷体_GB2312" w:hAnsi="楷体_GB2312" w:eastAsia="楷体_GB2312" w:cs="楷体_GB2312"/>
          <w:b/>
          <w:bCs w:val="0"/>
        </w:rPr>
      </w:pPr>
      <w:r>
        <w:rPr>
          <w:rFonts w:hint="eastAsia" w:ascii="楷体_GB2312" w:hAnsi="楷体_GB2312" w:eastAsia="楷体_GB2312" w:cs="楷体_GB2312"/>
          <w:b/>
          <w:bCs w:val="0"/>
        </w:rPr>
        <w:t>（一）指标计算口径</w:t>
      </w:r>
    </w:p>
    <w:p w14:paraId="0B1D4186">
      <w:pPr>
        <w:spacing w:before="0" w:after="0" w:line="579" w:lineRule="exact"/>
        <w:ind w:firstLine="640"/>
        <w:jc w:val="both"/>
        <w:rPr>
          <w:rFonts w:hint="eastAsia" w:ascii="仿宋_GB2312" w:hAnsi="仿宋_GB2312" w:eastAsia="仿宋_GB2312" w:cs="仿宋_GB2312"/>
        </w:rPr>
      </w:pPr>
      <w:bookmarkStart w:id="0" w:name="_GoBack"/>
      <w:r>
        <w:rPr>
          <w:rFonts w:hint="eastAsia" w:ascii="仿宋_GB2312" w:hAnsi="仿宋_GB2312" w:eastAsia="仿宋_GB2312" w:cs="仿宋_GB2312"/>
          <w:b w:val="0"/>
          <w:color w:val="000000"/>
          <w:sz w:val="32"/>
        </w:rPr>
        <w:t>限电电量按以下口径统计：实时市场电价不高于-80元/MWh时，将可用功率高于实际发电功率的差额按15分钟累加，全年为97,201.6MWh。储能在这些时段实际充入17,284.2MWh，限电电量利用率为17,284.2÷97,201.6＝17.78%。</w:t>
      </w:r>
    </w:p>
    <w:p w14:paraId="0520CDD0">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限电比例在建设前为97,201.6MWh÷可发电量652,919.1MWh＝14.89%；建设后限电量为97,201.6－17,284.2＝79,917.4MWh，限电比例为79,917.4÷652,919.1＝12.24%。储能转换损耗不影响限电电量是否已在充电侧被利用。</w:t>
      </w:r>
    </w:p>
    <w:p w14:paraId="4D6352EC">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项目整体上网电量在建设后为555,717.5－90,517.4＋101,759.6＝566,959.7MWh，增加11,242.2MWh。该增量也可按能量来源核对：限电充电转换后16,074.3＋偏差弥补转换后1,504.1－发电充电转换损失6,336.2＝11,242.2MWh。</w:t>
      </w:r>
    </w:p>
    <w:p w14:paraId="18F5234B">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新能源利用小时在建设前为555,717.5MWh÷480MW＝1157.74小时；建设后为566,959.7MWh÷480MW＝1181.17小时，变化+23.42小时。</w:t>
      </w:r>
    </w:p>
    <w:p w14:paraId="02351782">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建设前实时市场平均结算电价为新能源实时市场结算收入7,774.4万元×10,000÷实际上网电量555,717.5MWh＝139.90元/MWh。建设后按“原实时市场结算收入＋储能市场放电收入－发电充电成本”除以改变后的市场上网电量计算，为199.20元/MWh。</w:t>
      </w:r>
    </w:p>
    <w:p w14:paraId="05467892">
      <w:pPr>
        <w:spacing w:before="0" w:after="0" w:line="579" w:lineRule="exact"/>
        <w:ind w:firstLine="640"/>
        <w:jc w:val="both"/>
        <w:rPr>
          <w:rFonts w:hint="eastAsia" w:ascii="仿宋_GB2312" w:hAnsi="仿宋_GB2312" w:eastAsia="仿宋_GB2312" w:cs="仿宋_GB2312"/>
        </w:rPr>
      </w:pPr>
      <w:r>
        <w:rPr>
          <w:rFonts w:hint="eastAsia" w:ascii="仿宋_GB2312" w:hAnsi="仿宋_GB2312" w:eastAsia="仿宋_GB2312" w:cs="仿宋_GB2312"/>
          <w:b w:val="0"/>
          <w:color w:val="000000"/>
          <w:sz w:val="32"/>
        </w:rPr>
        <w:t>等效收益单价提升为储能首年增量收入4,057.3万元×10,000÷配储后项目整体上网电量566,959.7MWh＝71.56元/MWh。该指标属于收入折算值，与实时市场平均结算电价分别列示。</w:t>
      </w:r>
    </w:p>
    <w:bookmarkEnd w:id="0"/>
    <w:sectPr>
      <w:headerReference r:id="rId5" w:type="default"/>
      <w:footerReference r:id="rId7" w:type="default"/>
      <w:headerReference r:id="rId6" w:type="even"/>
      <w:footerReference r:id="rId8" w:type="even"/>
      <w:pgSz w:w="11906" w:h="16838"/>
      <w:pgMar w:top="2098" w:right="1474" w:bottom="1984" w:left="1587" w:header="454" w:footer="1361"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STFangsong">
    <w:panose1 w:val="02010600040101010101"/>
    <w:charset w:val="86"/>
    <w:family w:val="auto"/>
    <w:pitch w:val="default"/>
    <w:sig w:usb0="00000287" w:usb1="080F0000" w:usb2="00000000"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STSong">
    <w:panose1 w:val="02010600040101010101"/>
    <w:charset w:val="86"/>
    <w:family w:val="auto"/>
    <w:pitch w:val="default"/>
    <w:sig w:usb0="80000287" w:usb1="280F3C52" w:usb2="00000016" w:usb3="00000000" w:csb0="0004001F" w:csb1="00000000"/>
  </w:font>
  <w:font w:name="STKaiti">
    <w:panose1 w:val="02010600040101010101"/>
    <w:charset w:val="86"/>
    <w:family w:val="auto"/>
    <w:pitch w:val="default"/>
    <w:sig w:usb0="80000287" w:usb1="280F3C52" w:usb2="00000016" w:usb3="00000000" w:csb0="0004001F" w:csb1="00000000"/>
  </w:font>
  <w:font w:name="Heiti SC">
    <w:panose1 w:val="02000000000000000000"/>
    <w:charset w:val="86"/>
    <w:family w:val="auto"/>
    <w:pitch w:val="default"/>
    <w:sig w:usb0="8000002F" w:usb1="0800004A" w:usb2="00000000" w:usb3="00000000" w:csb0="203E0000" w:csb1="00000000"/>
  </w:font>
  <w:font w:name="ＭＳ 明朝">
    <w:altName w:val="Hiragino Sans"/>
    <w:panose1 w:val="00000000000000000000"/>
    <w:charset w:val="00"/>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_GB2312">
    <w:panose1 w:val="02010609030101010101"/>
    <w:charset w:val="86"/>
    <w:family w:val="auto"/>
    <w:pitch w:val="default"/>
    <w:sig w:usb0="00000001" w:usb1="080E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 w:name="仿宋_GB2312">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AACE3">
    <w:pPr>
      <w:pStyle w:val="24"/>
      <w:spacing w:before="0" w:after="0" w:line="280" w:lineRule="exact"/>
      <w:ind w:left="0" w:right="198"/>
      <w:jc w:val="right"/>
    </w:pPr>
    <w:r>
      <w:rPr>
        <w:rFonts w:ascii="STSong" w:hAnsi="STSong" w:eastAsia="STSong"/>
        <w:color w:val="000000"/>
        <w:sz w:val="28"/>
      </w:rPr>
      <w:t>—</w:t>
    </w:r>
    <w:r>
      <w:rPr>
        <w:rFonts w:ascii="STSong" w:hAnsi="STSong" w:eastAsia="STSong"/>
        <w:color w:val="000000"/>
        <w:sz w:val="28"/>
      </w:rPr>
      <w:fldChar w:fldCharType="begin"/>
    </w:r>
    <w:r>
      <w:rPr>
        <w:rFonts w:ascii="STSong" w:hAnsi="STSong" w:eastAsia="STSong"/>
        <w:color w:val="000000"/>
        <w:sz w:val="28"/>
      </w:rPr>
      <w:instrText xml:space="preserve"> PAGE </w:instrText>
    </w:r>
    <w:r>
      <w:rPr>
        <w:rFonts w:ascii="STSong" w:hAnsi="STSong" w:eastAsia="STSong"/>
        <w:color w:val="000000"/>
        <w:sz w:val="28"/>
      </w:rPr>
      <w:fldChar w:fldCharType="separate"/>
    </w:r>
    <w:r>
      <w:rPr>
        <w:rFonts w:ascii="STSong" w:hAnsi="STSong" w:eastAsia="STSong"/>
        <w:color w:val="000000"/>
        <w:sz w:val="28"/>
      </w:rPr>
      <w:t>1</w:t>
    </w:r>
    <w:r>
      <w:rPr>
        <w:rFonts w:ascii="STSong" w:hAnsi="STSong" w:eastAsia="STSong"/>
        <w:color w:val="000000"/>
        <w:sz w:val="28"/>
      </w:rPr>
      <w:fldChar w:fldCharType="end"/>
    </w:r>
    <w:r>
      <w:rPr>
        <w:rFonts w:ascii="STSong" w:hAnsi="STSong" w:eastAsia="STSong"/>
        <w:color w:val="000000"/>
        <w:sz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81003">
    <w:pPr>
      <w:pStyle w:val="24"/>
      <w:spacing w:before="0" w:after="0" w:line="280" w:lineRule="exact"/>
      <w:ind w:left="198" w:right="0"/>
      <w:jc w:val="left"/>
    </w:pPr>
    <w:r>
      <w:rPr>
        <w:rFonts w:ascii="STSong" w:hAnsi="STSong" w:eastAsia="STSong"/>
        <w:color w:val="000000"/>
        <w:sz w:val="28"/>
      </w:rPr>
      <w:t>—</w:t>
    </w:r>
    <w:r>
      <w:rPr>
        <w:rFonts w:ascii="STSong" w:hAnsi="STSong" w:eastAsia="STSong"/>
        <w:color w:val="000000"/>
        <w:sz w:val="28"/>
      </w:rPr>
      <w:fldChar w:fldCharType="begin"/>
    </w:r>
    <w:r>
      <w:rPr>
        <w:rFonts w:ascii="STSong" w:hAnsi="STSong" w:eastAsia="STSong"/>
        <w:color w:val="000000"/>
        <w:sz w:val="28"/>
      </w:rPr>
      <w:instrText xml:space="preserve"> PAGE </w:instrText>
    </w:r>
    <w:r>
      <w:rPr>
        <w:rFonts w:ascii="STSong" w:hAnsi="STSong" w:eastAsia="STSong"/>
        <w:color w:val="000000"/>
        <w:sz w:val="28"/>
      </w:rPr>
      <w:fldChar w:fldCharType="separate"/>
    </w:r>
    <w:r>
      <w:rPr>
        <w:rFonts w:ascii="STSong" w:hAnsi="STSong" w:eastAsia="STSong"/>
        <w:color w:val="000000"/>
        <w:sz w:val="28"/>
      </w:rPr>
      <w:t>1</w:t>
    </w:r>
    <w:r>
      <w:rPr>
        <w:rFonts w:ascii="STSong" w:hAnsi="STSong" w:eastAsia="STSong"/>
        <w:color w:val="000000"/>
        <w:sz w:val="28"/>
      </w:rPr>
      <w:fldChar w:fldCharType="end"/>
    </w:r>
    <w:r>
      <w:rPr>
        <w:rFonts w:ascii="STSong" w:hAnsi="STSong" w:eastAsia="STSong"/>
        <w:color w:val="000000"/>
        <w:sz w:val="2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F891C">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3B7A9">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DFF305D"/>
    <w:rsid w:val="6F6F7A40"/>
    <w:rsid w:val="72F71F16"/>
    <w:rsid w:val="7DF913DD"/>
    <w:rsid w:val="9FEFEE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579" w:lineRule="exact"/>
      <w:ind w:firstLine="640"/>
    </w:pPr>
    <w:rPr>
      <w:rFonts w:ascii="STFangsong" w:hAnsi="STFangsong" w:eastAsia="STFangsong" w:cstheme="minorBidi"/>
      <w:color w:val="000000"/>
      <w:sz w:val="32"/>
      <w:szCs w:val="22"/>
      <w:lang w:val="en-US" w:eastAsia="en-US" w:bidi="ar-SA"/>
    </w:rPr>
  </w:style>
  <w:style w:type="paragraph" w:styleId="3">
    <w:name w:val="heading 1"/>
    <w:basedOn w:val="1"/>
    <w:next w:val="1"/>
    <w:link w:val="138"/>
    <w:qFormat/>
    <w:uiPriority w:val="9"/>
    <w:pPr>
      <w:keepNext/>
      <w:keepLines/>
      <w:spacing w:before="0" w:after="0" w:line="579" w:lineRule="exact"/>
      <w:ind w:firstLine="640"/>
      <w:outlineLvl w:val="0"/>
    </w:pPr>
    <w:rPr>
      <w:rFonts w:asciiTheme="majorHAnsi" w:hAnsiTheme="majorHAnsi" w:eastAsiaTheme="majorEastAsia" w:cstheme="majorBidi"/>
      <w:bCs/>
      <w:color w:val="000000"/>
      <w:sz w:val="32"/>
      <w:szCs w:val="28"/>
    </w:rPr>
  </w:style>
  <w:style w:type="paragraph" w:styleId="4">
    <w:name w:val="heading 2"/>
    <w:basedOn w:val="1"/>
    <w:next w:val="1"/>
    <w:link w:val="139"/>
    <w:unhideWhenUsed/>
    <w:qFormat/>
    <w:uiPriority w:val="9"/>
    <w:pPr>
      <w:keepNext/>
      <w:keepLines/>
      <w:spacing w:before="0" w:after="0" w:line="579" w:lineRule="exact"/>
      <w:ind w:firstLine="640"/>
      <w:outlineLvl w:val="1"/>
    </w:pPr>
    <w:rPr>
      <w:rFonts w:asciiTheme="majorHAnsi" w:hAnsiTheme="majorHAnsi" w:eastAsiaTheme="majorEastAsia" w:cstheme="majorBidi"/>
      <w:bCs/>
      <w:color w:val="000000"/>
      <w:sz w:val="3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13</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配储寻优项目组</dc:creator>
  <dc:description>依据方案A模型自动生成；版式参照GB/T 9704—2012</dc:description>
  <cp:lastModifiedBy>LYMing</cp:lastModifiedBy>
  <dcterms:modified xsi:type="dcterms:W3CDTF">2026-09-14T14:53:35Z</dcterms:modified>
  <dc:subject>储能项目技术经济测算</dc:subject>
  <dc:title>阜山龙源光伏电站100MW/400MWh配建储能项目投资分析报告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D5D6D08C531D28500697A76A1F4C71BB_42</vt:lpwstr>
  </property>
</Properties>
</file>