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color w:val="121212"/>
          <w:sz w:val="23"/>
          <w:szCs w:val="23"/>
          <w:shd w:val="clear" w:color="auto" w:fill="FFFFFF"/>
        </w:rPr>
      </w:pPr>
      <w:r>
        <w:rPr>
          <w:rFonts w:hint="eastAsia" w:ascii="宋体" w:hAnsi="宋体" w:eastAsia="宋体" w:cs="宋体"/>
          <w:b/>
          <w:bCs/>
          <w:color w:val="121212"/>
          <w:sz w:val="23"/>
          <w:szCs w:val="23"/>
          <w:shd w:val="clear" w:color="auto" w:fill="FFFFFF"/>
        </w:rPr>
        <w:t>问题F：检查高等教育的脉搏和温度</w:t>
      </w:r>
    </w:p>
    <w:p>
      <w:pPr>
        <w:rPr>
          <w:rFonts w:hint="eastAsia" w:ascii="宋体" w:hAnsi="宋体" w:eastAsia="宋体" w:cs="宋体"/>
          <w:b/>
          <w:bCs/>
          <w:color w:val="121212"/>
          <w:sz w:val="23"/>
          <w:szCs w:val="23"/>
          <w:shd w:val="clear" w:color="auto" w:fill="FFFFFF"/>
        </w:rPr>
      </w:pPr>
      <w:r>
        <w:rPr>
          <w:rFonts w:hint="eastAsia" w:ascii="宋体" w:hAnsi="宋体" w:eastAsia="宋体" w:cs="宋体"/>
          <w:b/>
          <w:bCs/>
          <w:color w:val="121212"/>
          <w:sz w:val="23"/>
          <w:szCs w:val="23"/>
          <w:shd w:val="clear" w:color="auto" w:fill="FFFFFF"/>
        </w:rPr>
        <w:t>概要：</w:t>
      </w:r>
    </w:p>
    <w:p>
      <w:pPr>
        <w:ind w:firstLine="420"/>
        <w:rPr>
          <w:rFonts w:hint="eastAsia" w:ascii="宋体" w:hAnsi="宋体" w:eastAsia="宋体" w:cs="宋体"/>
          <w:b/>
          <w:bCs/>
          <w:color w:val="121212"/>
          <w:sz w:val="23"/>
          <w:szCs w:val="23"/>
          <w:shd w:val="clear" w:color="auto" w:fill="FFFFFF"/>
        </w:rPr>
      </w:pPr>
      <w:r>
        <w:rPr>
          <w:rFonts w:hint="eastAsia" w:ascii="宋体" w:hAnsi="宋体" w:eastAsia="宋体" w:cs="宋体"/>
          <w:b/>
          <w:bCs/>
          <w:color w:val="121212"/>
          <w:sz w:val="23"/>
          <w:szCs w:val="23"/>
          <w:shd w:val="clear" w:color="auto" w:fill="FFFFFF"/>
        </w:rPr>
        <w:t>评定一个国家的高等教育程度、以及其发展趋势是否健康对于一个国家的发展至关重要。然而，一个国家的高等教育的健康与否往往受到许多因素的影响。例如：经济发展水平、入学率、政府的教育投入等等，不同的因素所造成的影响程度也有所不同。因此，我们在确定影响高等教育水平的几大因素的基础上，需要通过对原始数据集进行训练从而合理确定相应因素的权重大小，从而建立数学模型来评价一个国家的高等教育情况。</w:t>
      </w:r>
    </w:p>
    <w:p>
      <w:pPr>
        <w:ind w:firstLine="420"/>
        <w:rPr>
          <w:rFonts w:hint="eastAsia" w:ascii="宋体" w:hAnsi="宋体" w:eastAsia="宋体" w:cs="宋体"/>
          <w:b/>
          <w:bCs/>
          <w:color w:val="121212"/>
          <w:sz w:val="23"/>
          <w:szCs w:val="23"/>
          <w:shd w:val="clear" w:color="auto" w:fill="FFFFFF"/>
          <w:lang w:val="en-US" w:eastAsia="zh-CN"/>
        </w:rPr>
      </w:pPr>
      <w:r>
        <w:rPr>
          <w:rFonts w:hint="eastAsia" w:ascii="宋体" w:hAnsi="宋体" w:eastAsia="宋体" w:cs="宋体"/>
          <w:b/>
          <w:bCs/>
          <w:color w:val="121212"/>
          <w:sz w:val="23"/>
          <w:szCs w:val="23"/>
          <w:shd w:val="clear" w:color="auto" w:fill="FFFFFF"/>
        </w:rPr>
        <w:t>我们建立了基本模型</w:t>
      </w:r>
      <w:r>
        <w:rPr>
          <w:rFonts w:hint="eastAsia" w:ascii="宋体" w:hAnsi="宋体" w:eastAsia="宋体" w:cs="宋体"/>
          <w:b/>
          <w:bCs/>
          <w:color w:val="121212"/>
          <w:sz w:val="23"/>
          <w:szCs w:val="23"/>
          <w:shd w:val="clear" w:color="auto" w:fill="FFFFFF"/>
          <w:lang w:val="en-US" w:eastAsia="zh-CN"/>
        </w:rPr>
        <w:t>TOPSIS</w:t>
      </w:r>
      <w:r>
        <w:rPr>
          <w:rFonts w:hint="eastAsia" w:ascii="宋体" w:hAnsi="宋体" w:eastAsia="宋体" w:cs="宋体"/>
          <w:b/>
          <w:bCs/>
          <w:color w:val="121212"/>
          <w:sz w:val="23"/>
          <w:szCs w:val="23"/>
          <w:shd w:val="clear" w:color="auto" w:fill="FFFFFF"/>
        </w:rPr>
        <w:t>来评定各个国家的高等教育现状，并研究各个因素的影响程度和完善所需要的成本。针对目前世界上高等教育发展不平衡的现状，我们选择了</w:t>
      </w:r>
      <w:r>
        <w:rPr>
          <w:rFonts w:hint="eastAsia" w:ascii="宋体" w:hAnsi="宋体" w:eastAsia="宋体" w:cs="宋体"/>
          <w:b/>
          <w:bCs/>
          <w:color w:val="121212"/>
          <w:sz w:val="23"/>
          <w:szCs w:val="23"/>
          <w:shd w:val="clear" w:color="auto" w:fill="FFFFFF"/>
          <w:lang w:val="en-US" w:eastAsia="zh-CN"/>
        </w:rPr>
        <w:t>四</w:t>
      </w:r>
      <w:r>
        <w:rPr>
          <w:rFonts w:hint="eastAsia" w:ascii="宋体" w:hAnsi="宋体" w:eastAsia="宋体" w:cs="宋体"/>
          <w:b/>
          <w:bCs/>
          <w:color w:val="121212"/>
          <w:sz w:val="23"/>
          <w:szCs w:val="23"/>
          <w:shd w:val="clear" w:color="auto" w:fill="FFFFFF"/>
        </w:rPr>
        <w:t>个国家进行高等教育的检查。其中，对于</w:t>
      </w:r>
      <w:r>
        <w:rPr>
          <w:rFonts w:hint="eastAsia" w:ascii="宋体" w:hAnsi="宋体" w:eastAsia="宋体" w:cs="宋体"/>
          <w:b/>
          <w:bCs/>
          <w:color w:val="121212"/>
          <w:sz w:val="23"/>
          <w:szCs w:val="23"/>
          <w:shd w:val="clear" w:color="auto" w:fill="FFFFFF"/>
          <w:lang w:val="en-US" w:eastAsia="zh-CN"/>
        </w:rPr>
        <w:t>墨西哥这个国家</w:t>
      </w:r>
      <w:r>
        <w:rPr>
          <w:rFonts w:hint="eastAsia" w:ascii="宋体" w:hAnsi="宋体" w:eastAsia="宋体" w:cs="宋体"/>
          <w:b/>
          <w:bCs/>
          <w:color w:val="121212"/>
          <w:sz w:val="23"/>
          <w:szCs w:val="23"/>
          <w:shd w:val="clear" w:color="auto" w:fill="FFFFFF"/>
        </w:rPr>
        <w:t>在评价其高等教育的基础上，还提出了各类意见</w:t>
      </w:r>
      <w:r>
        <w:rPr>
          <w:rFonts w:hint="eastAsia" w:ascii="宋体" w:hAnsi="宋体" w:eastAsia="宋体" w:cs="宋体"/>
          <w:b/>
          <w:bCs/>
          <w:color w:val="121212"/>
          <w:sz w:val="23"/>
          <w:szCs w:val="23"/>
          <w:shd w:val="clear" w:color="auto" w:fill="FFFFFF"/>
          <w:lang w:eastAsia="zh-CN"/>
        </w:rPr>
        <w:t>，</w:t>
      </w:r>
      <w:r>
        <w:rPr>
          <w:rFonts w:hint="eastAsia" w:ascii="宋体" w:hAnsi="宋体" w:eastAsia="宋体" w:cs="宋体"/>
          <w:b/>
          <w:bCs/>
          <w:color w:val="121212"/>
          <w:sz w:val="23"/>
          <w:szCs w:val="23"/>
          <w:shd w:val="clear" w:color="auto" w:fill="FFFFFF"/>
          <w:lang w:val="en-US" w:eastAsia="zh-CN"/>
        </w:rPr>
        <w:t>包括提高办学规模，提高公民进入高等院校学习意识，提高毕业率，制定一系列对于科研人员的奖励措施，增加高校与世界其他高校的交流。</w:t>
      </w:r>
    </w:p>
    <w:p>
      <w:pPr>
        <w:ind w:firstLine="420"/>
        <w:rPr>
          <w:rFonts w:hint="eastAsia" w:ascii="宋体" w:hAnsi="宋体" w:eastAsia="宋体" w:cs="宋体"/>
          <w:b/>
          <w:bCs/>
          <w:color w:val="121212"/>
          <w:sz w:val="23"/>
          <w:szCs w:val="23"/>
          <w:shd w:val="clear" w:color="auto" w:fill="FFFFFF"/>
        </w:rPr>
      </w:pPr>
      <w:r>
        <w:rPr>
          <w:rFonts w:hint="eastAsia" w:ascii="宋体" w:hAnsi="宋体" w:eastAsia="宋体" w:cs="宋体"/>
          <w:b/>
          <w:bCs/>
          <w:color w:val="121212"/>
          <w:sz w:val="23"/>
          <w:szCs w:val="23"/>
          <w:shd w:val="clear" w:color="auto" w:fill="FFFFFF"/>
        </w:rPr>
        <w:t>除了评价当前国家高等教育的健康状况之外，我们还建立了与之对应的灰色预测模型。从而预测其之后高等教育的发展是否呈现积极向的一面。</w:t>
      </w:r>
    </w:p>
    <w:p>
      <w:pPr>
        <w:ind w:firstLine="420"/>
        <w:rPr>
          <w:rFonts w:hint="eastAsia" w:ascii="宋体" w:hAnsi="宋体" w:eastAsia="宋体" w:cs="宋体"/>
          <w:b/>
          <w:bCs/>
          <w:color w:val="121212"/>
          <w:sz w:val="23"/>
          <w:szCs w:val="23"/>
          <w:shd w:val="clear" w:color="auto" w:fill="FFFFFF"/>
        </w:rPr>
      </w:pPr>
    </w:p>
    <w:p>
      <w:pPr>
        <w:ind w:firstLine="0" w:firstLineChars="0"/>
        <w:rPr>
          <w:rFonts w:hint="eastAsia" w:ascii="宋体" w:hAnsi="宋体" w:eastAsia="宋体" w:cs="宋体"/>
          <w:b/>
          <w:bCs/>
          <w:color w:val="121212"/>
          <w:sz w:val="23"/>
          <w:szCs w:val="23"/>
          <w:shd w:val="clear" w:color="auto" w:fill="FFFFFF"/>
          <w:lang w:val="en-US" w:eastAsia="zh-CN"/>
        </w:rPr>
      </w:pPr>
      <w:r>
        <w:rPr>
          <w:rFonts w:hint="eastAsia" w:ascii="宋体" w:hAnsi="宋体" w:eastAsia="宋体" w:cs="宋体"/>
          <w:b/>
          <w:bCs/>
          <w:color w:val="121212"/>
          <w:sz w:val="23"/>
          <w:szCs w:val="23"/>
          <w:shd w:val="clear" w:color="auto" w:fill="FFFFFF"/>
          <w:lang w:val="en-US" w:eastAsia="zh-CN"/>
        </w:rPr>
        <w:t>关键词：高等教育系统、评估模型、逼近理想解排序法（topsis）</w:t>
      </w:r>
    </w:p>
    <w:p>
      <w:pPr>
        <w:ind w:firstLine="420"/>
        <w:rPr>
          <w:rFonts w:hint="eastAsia" w:ascii="宋体" w:hAnsi="宋体" w:eastAsia="宋体" w:cs="宋体"/>
          <w:b/>
          <w:bCs/>
          <w:color w:val="121212"/>
          <w:sz w:val="23"/>
          <w:szCs w:val="23"/>
          <w:shd w:val="clear" w:color="auto" w:fill="FFFFFF"/>
        </w:rPr>
      </w:pPr>
    </w:p>
    <w:p>
      <w:pPr>
        <w:ind w:firstLine="420"/>
        <w:rPr>
          <w:rFonts w:hint="eastAsia" w:ascii="宋体" w:hAnsi="宋体" w:eastAsia="宋体" w:cs="宋体"/>
          <w:b/>
          <w:bCs/>
          <w:color w:val="121212"/>
          <w:sz w:val="23"/>
          <w:szCs w:val="23"/>
          <w:shd w:val="clear" w:color="auto" w:fill="FFFFFF"/>
        </w:rPr>
      </w:pPr>
    </w:p>
    <w:p>
      <w:pPr>
        <w:ind w:firstLine="420"/>
        <w:rPr>
          <w:rFonts w:hint="eastAsia" w:ascii="宋体" w:hAnsi="宋体" w:eastAsia="宋体" w:cs="宋体"/>
          <w:b/>
          <w:bCs/>
          <w:color w:val="121212"/>
          <w:sz w:val="23"/>
          <w:szCs w:val="23"/>
          <w:shd w:val="clear" w:color="auto" w:fill="FFFFFF"/>
        </w:rPr>
      </w:pPr>
    </w:p>
    <w:p>
      <w:pPr>
        <w:ind w:firstLine="420"/>
        <w:rPr>
          <w:rFonts w:hint="eastAsia" w:ascii="宋体" w:hAnsi="宋体" w:eastAsia="宋体" w:cs="宋体"/>
          <w:b/>
          <w:bCs/>
          <w:color w:val="121212"/>
          <w:sz w:val="23"/>
          <w:szCs w:val="23"/>
          <w:shd w:val="clear" w:color="auto" w:fill="FFFFFF"/>
        </w:rPr>
      </w:pPr>
    </w:p>
    <w:p>
      <w:pPr>
        <w:ind w:firstLine="420"/>
        <w:rPr>
          <w:rFonts w:hint="eastAsia" w:ascii="宋体" w:hAnsi="宋体" w:eastAsia="宋体" w:cs="宋体"/>
          <w:b/>
          <w:bCs/>
          <w:color w:val="121212"/>
          <w:sz w:val="23"/>
          <w:szCs w:val="23"/>
          <w:shd w:val="clear" w:color="auto" w:fill="FFFFFF"/>
        </w:rPr>
      </w:pPr>
    </w:p>
    <w:p>
      <w:pPr>
        <w:ind w:firstLine="420"/>
        <w:rPr>
          <w:rFonts w:hint="eastAsia" w:ascii="宋体" w:hAnsi="宋体" w:eastAsia="宋体" w:cs="宋体"/>
          <w:b/>
          <w:bCs/>
          <w:color w:val="121212"/>
          <w:sz w:val="23"/>
          <w:szCs w:val="23"/>
          <w:shd w:val="clear" w:color="auto" w:fill="FFFFFF"/>
        </w:rPr>
      </w:pPr>
    </w:p>
    <w:p>
      <w:pPr>
        <w:ind w:firstLine="420"/>
        <w:rPr>
          <w:rFonts w:hint="eastAsia" w:ascii="宋体" w:hAnsi="宋体" w:eastAsia="宋体" w:cs="宋体"/>
          <w:b/>
          <w:bCs/>
          <w:color w:val="121212"/>
          <w:sz w:val="23"/>
          <w:szCs w:val="23"/>
          <w:shd w:val="clear" w:color="auto" w:fill="FFFFFF"/>
        </w:rPr>
      </w:pPr>
    </w:p>
    <w:sdt>
      <w:sdtPr>
        <w:rPr>
          <w:rFonts w:hint="eastAsia" w:ascii="宋体" w:hAnsi="宋体" w:eastAsia="宋体" w:cs="宋体"/>
          <w:lang w:val="zh-CN"/>
        </w:rPr>
        <w:id w:val="-1433190656"/>
        <w:docPartObj>
          <w:docPartGallery w:val="Table of Contents"/>
          <w:docPartUnique/>
        </w:docPartObj>
      </w:sdtPr>
      <w:sdtEndPr>
        <w:rPr>
          <w:rFonts w:hint="eastAsia" w:ascii="宋体" w:hAnsi="宋体" w:eastAsia="宋体" w:cs="宋体"/>
          <w:b/>
          <w:bCs/>
          <w:color w:val="auto"/>
          <w:sz w:val="22"/>
          <w:szCs w:val="22"/>
          <w:lang w:val="zh-CN"/>
        </w:rPr>
      </w:sdtEndPr>
      <w:sdtContent>
        <w:p>
          <w:pPr>
            <w:pStyle w:val="25"/>
            <w:rPr>
              <w:rFonts w:hint="eastAsia" w:ascii="宋体" w:hAnsi="宋体" w:eastAsia="宋体" w:cs="宋体"/>
            </w:rPr>
          </w:pPr>
          <w:r>
            <w:rPr>
              <w:rFonts w:hint="eastAsia" w:ascii="宋体" w:hAnsi="宋体" w:eastAsia="宋体" w:cs="宋体"/>
              <w:lang w:val="zh-CN"/>
            </w:rPr>
            <w:t>目录</w:t>
          </w:r>
        </w:p>
        <w:p>
          <w:pPr>
            <w:pStyle w:val="13"/>
            <w:tabs>
              <w:tab w:val="left" w:pos="420"/>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"_Toc63606970" </w:instrText>
          </w:r>
          <w:r>
            <w:rPr>
              <w:rFonts w:hint="eastAsia" w:ascii="宋体" w:hAnsi="宋体" w:eastAsia="宋体" w:cs="宋体"/>
            </w:rPr>
            <w:fldChar w:fldCharType="separate"/>
          </w:r>
          <w:r>
            <w:rPr>
              <w:rStyle w:val="22"/>
              <w:rFonts w:hint="eastAsia" w:ascii="宋体" w:hAnsi="宋体" w:eastAsia="宋体" w:cs="宋体"/>
            </w:rPr>
            <w:t>1.</w:t>
          </w:r>
          <w:r>
            <w:rPr>
              <w:rFonts w:hint="eastAsia" w:ascii="宋体" w:hAnsi="宋体" w:eastAsia="宋体" w:cs="宋体"/>
              <w:kern w:val="2"/>
              <w:sz w:val="21"/>
            </w:rPr>
            <w:tab/>
          </w:r>
          <w:r>
            <w:rPr>
              <w:rStyle w:val="22"/>
              <w:rFonts w:hint="eastAsia" w:ascii="宋体" w:hAnsi="宋体" w:eastAsia="宋体" w:cs="宋体"/>
              <w:shd w:val="clear" w:color="auto" w:fill="FFFFFF"/>
            </w:rPr>
            <w:t>问题重述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_Toc63606970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"_Toc63606971" </w:instrText>
          </w:r>
          <w:r>
            <w:rPr>
              <w:rFonts w:hint="eastAsia" w:ascii="宋体" w:hAnsi="宋体" w:eastAsia="宋体" w:cs="宋体"/>
            </w:rPr>
            <w:fldChar w:fldCharType="separate"/>
          </w:r>
          <w:r>
            <w:rPr>
              <w:rStyle w:val="22"/>
              <w:rFonts w:hint="eastAsia" w:ascii="宋体" w:hAnsi="宋体" w:eastAsia="宋体" w:cs="宋体"/>
            </w:rPr>
            <w:t>1.1</w:t>
          </w:r>
          <w:r>
            <w:rPr>
              <w:rFonts w:hint="eastAsia" w:ascii="宋体" w:hAnsi="宋体" w:eastAsia="宋体" w:cs="宋体"/>
              <w:kern w:val="2"/>
              <w:sz w:val="21"/>
            </w:rPr>
            <w:tab/>
          </w:r>
          <w:r>
            <w:rPr>
              <w:rStyle w:val="22"/>
              <w:rFonts w:hint="eastAsia" w:ascii="宋体" w:hAnsi="宋体" w:eastAsia="宋体" w:cs="宋体"/>
            </w:rPr>
            <w:t>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_Toc63606971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296"/>
            </w:tabs>
            <w:ind w:left="88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"_Toc63606972" </w:instrText>
          </w:r>
          <w:r>
            <w:rPr>
              <w:rFonts w:hint="eastAsia" w:ascii="宋体" w:hAnsi="宋体" w:eastAsia="宋体" w:cs="宋体"/>
            </w:rPr>
            <w:fldChar w:fldCharType="separate"/>
          </w:r>
          <w:r>
            <w:rPr>
              <w:rStyle w:val="22"/>
              <w:rFonts w:hint="eastAsia" w:ascii="宋体" w:hAnsi="宋体" w:eastAsia="宋体" w:cs="宋体"/>
            </w:rPr>
            <w:t>1.1.1 问题概述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_Toc63606972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296"/>
            </w:tabs>
            <w:ind w:left="88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"_Toc63606973" </w:instrText>
          </w:r>
          <w:r>
            <w:rPr>
              <w:rFonts w:hint="eastAsia" w:ascii="宋体" w:hAnsi="宋体" w:eastAsia="宋体" w:cs="宋体"/>
            </w:rPr>
            <w:fldChar w:fldCharType="separate"/>
          </w:r>
          <w:r>
            <w:rPr>
              <w:rStyle w:val="22"/>
              <w:rFonts w:hint="eastAsia" w:ascii="宋体" w:hAnsi="宋体" w:eastAsia="宋体" w:cs="宋体"/>
            </w:rPr>
            <w:t>1.1.2 评价高等教育的因素</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_Toc63606973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"_Toc63606974" </w:instrText>
          </w:r>
          <w:r>
            <w:rPr>
              <w:rFonts w:hint="eastAsia" w:ascii="宋体" w:hAnsi="宋体" w:eastAsia="宋体" w:cs="宋体"/>
            </w:rPr>
            <w:fldChar w:fldCharType="separate"/>
          </w:r>
          <w:r>
            <w:rPr>
              <w:rStyle w:val="22"/>
              <w:rFonts w:hint="eastAsia" w:ascii="宋体" w:hAnsi="宋体" w:eastAsia="宋体" w:cs="宋体"/>
            </w:rPr>
            <w:t>1.2</w:t>
          </w:r>
          <w:r>
            <w:rPr>
              <w:rFonts w:hint="eastAsia" w:ascii="宋体" w:hAnsi="宋体" w:eastAsia="宋体" w:cs="宋体"/>
              <w:kern w:val="2"/>
              <w:sz w:val="21"/>
            </w:rPr>
            <w:tab/>
          </w:r>
          <w:r>
            <w:rPr>
              <w:rStyle w:val="22"/>
              <w:rFonts w:hint="eastAsia" w:ascii="宋体" w:hAnsi="宋体" w:eastAsia="宋体" w:cs="宋体"/>
            </w:rPr>
            <w:t>文献综述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_Toc63606974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"_Toc63606975" </w:instrText>
          </w:r>
          <w:r>
            <w:rPr>
              <w:rFonts w:hint="eastAsia" w:ascii="宋体" w:hAnsi="宋体" w:eastAsia="宋体" w:cs="宋体"/>
            </w:rPr>
            <w:fldChar w:fldCharType="separate"/>
          </w:r>
          <w:r>
            <w:rPr>
              <w:rStyle w:val="22"/>
              <w:rFonts w:hint="eastAsia" w:ascii="宋体" w:hAnsi="宋体" w:eastAsia="宋体" w:cs="宋体"/>
            </w:rPr>
            <w:t>1.3</w:t>
          </w:r>
          <w:r>
            <w:rPr>
              <w:rFonts w:hint="eastAsia" w:ascii="宋体" w:hAnsi="宋体" w:eastAsia="宋体" w:cs="宋体"/>
              <w:kern w:val="2"/>
              <w:sz w:val="21"/>
            </w:rPr>
            <w:tab/>
          </w:r>
          <w:r>
            <w:rPr>
              <w:rStyle w:val="22"/>
              <w:rFonts w:hint="eastAsia" w:ascii="宋体" w:hAnsi="宋体" w:eastAsia="宋体" w:cs="宋体"/>
            </w:rPr>
            <w:t>任务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_Toc63606975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3"/>
            <w:tabs>
              <w:tab w:val="left" w:pos="420"/>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"_Toc63606976" </w:instrText>
          </w:r>
          <w:r>
            <w:rPr>
              <w:rFonts w:hint="eastAsia" w:ascii="宋体" w:hAnsi="宋体" w:eastAsia="宋体" w:cs="宋体"/>
            </w:rPr>
            <w:fldChar w:fldCharType="separate"/>
          </w:r>
          <w:r>
            <w:rPr>
              <w:rStyle w:val="22"/>
              <w:rFonts w:hint="eastAsia" w:ascii="宋体" w:hAnsi="宋体" w:eastAsia="宋体" w:cs="宋体"/>
            </w:rPr>
            <w:t>2.</w:t>
          </w:r>
          <w:r>
            <w:rPr>
              <w:rFonts w:hint="eastAsia" w:ascii="宋体" w:hAnsi="宋体" w:eastAsia="宋体" w:cs="宋体"/>
              <w:kern w:val="2"/>
              <w:sz w:val="21"/>
            </w:rPr>
            <w:tab/>
          </w:r>
          <w:r>
            <w:rPr>
              <w:rStyle w:val="22"/>
              <w:rFonts w:hint="eastAsia" w:ascii="宋体" w:hAnsi="宋体" w:eastAsia="宋体" w:cs="宋体"/>
              <w:shd w:val="clear" w:color="auto" w:fill="FFFFFF"/>
            </w:rPr>
            <w:t>模型假设和符号</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_Toc63606976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"_Toc63606977" </w:instrText>
          </w:r>
          <w:r>
            <w:rPr>
              <w:rFonts w:hint="eastAsia" w:ascii="宋体" w:hAnsi="宋体" w:eastAsia="宋体" w:cs="宋体"/>
            </w:rPr>
            <w:fldChar w:fldCharType="separate"/>
          </w:r>
          <w:r>
            <w:rPr>
              <w:rStyle w:val="22"/>
              <w:rFonts w:hint="eastAsia" w:ascii="宋体" w:hAnsi="宋体" w:eastAsia="宋体" w:cs="宋体"/>
            </w:rPr>
            <w:t>2.1</w:t>
          </w:r>
          <w:r>
            <w:rPr>
              <w:rFonts w:hint="eastAsia" w:ascii="宋体" w:hAnsi="宋体" w:eastAsia="宋体" w:cs="宋体"/>
              <w:kern w:val="2"/>
              <w:sz w:val="21"/>
            </w:rPr>
            <w:tab/>
          </w:r>
          <w:r>
            <w:rPr>
              <w:rStyle w:val="22"/>
              <w:rFonts w:hint="eastAsia" w:ascii="宋体" w:hAnsi="宋体" w:eastAsia="宋体" w:cs="宋体"/>
            </w:rPr>
            <w:t>假设和理由</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_Toc63606977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"_Toc63606978" </w:instrText>
          </w:r>
          <w:r>
            <w:rPr>
              <w:rFonts w:hint="eastAsia" w:ascii="宋体" w:hAnsi="宋体" w:eastAsia="宋体" w:cs="宋体"/>
            </w:rPr>
            <w:fldChar w:fldCharType="separate"/>
          </w:r>
          <w:r>
            <w:rPr>
              <w:rStyle w:val="22"/>
              <w:rFonts w:hint="eastAsia" w:ascii="宋体" w:hAnsi="宋体" w:eastAsia="宋体" w:cs="宋体"/>
            </w:rPr>
            <w:t>2.2</w:t>
          </w:r>
          <w:r>
            <w:rPr>
              <w:rFonts w:hint="eastAsia" w:ascii="宋体" w:hAnsi="宋体" w:eastAsia="宋体" w:cs="宋体"/>
              <w:kern w:val="2"/>
              <w:sz w:val="21"/>
            </w:rPr>
            <w:tab/>
          </w:r>
          <w:r>
            <w:rPr>
              <w:rStyle w:val="22"/>
              <w:rFonts w:hint="eastAsia" w:ascii="宋体" w:hAnsi="宋体" w:eastAsia="宋体" w:cs="宋体"/>
            </w:rPr>
            <w:t>符号</w:t>
          </w:r>
          <w:r>
            <w:rPr>
              <w:rFonts w:hint="eastAsia" w:ascii="宋体" w:hAnsi="宋体" w:eastAsia="宋体" w:cs="宋体"/>
            </w:rPr>
            <w:tab/>
          </w:r>
          <w:r>
            <w:rPr>
              <w:rFonts w:hint="eastAsia" w:ascii="宋体" w:hAnsi="宋体" w:eastAsia="宋体" w:cs="宋体"/>
            </w:rPr>
            <w:t>2</w:t>
          </w:r>
          <w:r>
            <w:rPr>
              <w:rFonts w:hint="eastAsia" w:ascii="宋体" w:hAnsi="宋体" w:eastAsia="宋体" w:cs="宋体"/>
            </w:rPr>
            <w:fldChar w:fldCharType="begin"/>
          </w:r>
          <w:r>
            <w:rPr>
              <w:rFonts w:hint="eastAsia" w:ascii="宋体" w:hAnsi="宋体" w:eastAsia="宋体" w:cs="宋体"/>
            </w:rPr>
            <w:instrText xml:space="preserve"> PAGEREF _Toc63606978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3"/>
            <w:tabs>
              <w:tab w:val="left" w:pos="420"/>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"_Toc63606979" </w:instrText>
          </w:r>
          <w:r>
            <w:rPr>
              <w:rFonts w:hint="eastAsia" w:ascii="宋体" w:hAnsi="宋体" w:eastAsia="宋体" w:cs="宋体"/>
            </w:rPr>
            <w:fldChar w:fldCharType="separate"/>
          </w:r>
          <w:r>
            <w:rPr>
              <w:rStyle w:val="22"/>
              <w:rFonts w:hint="eastAsia" w:ascii="宋体" w:hAnsi="宋体" w:eastAsia="宋体" w:cs="宋体"/>
            </w:rPr>
            <w:t>3.</w:t>
          </w:r>
          <w:r>
            <w:rPr>
              <w:rFonts w:hint="eastAsia" w:ascii="宋体" w:hAnsi="宋体" w:eastAsia="宋体" w:cs="宋体"/>
              <w:kern w:val="2"/>
              <w:sz w:val="21"/>
            </w:rPr>
            <w:tab/>
          </w:r>
          <w:r>
            <w:rPr>
              <w:rStyle w:val="22"/>
              <w:rFonts w:hint="eastAsia" w:ascii="宋体" w:hAnsi="宋体" w:eastAsia="宋体" w:cs="宋体"/>
              <w:shd w:val="clear" w:color="auto" w:fill="FFFFFF"/>
            </w:rPr>
            <w:t>评分的基本模型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_Toc63606979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"_Toc63606980" </w:instrText>
          </w:r>
          <w:r>
            <w:rPr>
              <w:rFonts w:hint="eastAsia" w:ascii="宋体" w:hAnsi="宋体" w:eastAsia="宋体" w:cs="宋体"/>
            </w:rPr>
            <w:fldChar w:fldCharType="separate"/>
          </w:r>
          <w:r>
            <w:rPr>
              <w:rStyle w:val="22"/>
              <w:rFonts w:hint="eastAsia" w:ascii="宋体" w:hAnsi="宋体" w:eastAsia="宋体" w:cs="宋体"/>
            </w:rPr>
            <w:t>3.1</w:t>
          </w:r>
          <w:r>
            <w:rPr>
              <w:rFonts w:hint="eastAsia" w:ascii="宋体" w:hAnsi="宋体" w:eastAsia="宋体" w:cs="宋体"/>
              <w:kern w:val="2"/>
              <w:sz w:val="21"/>
            </w:rPr>
            <w:tab/>
          </w:r>
          <w:r>
            <w:rPr>
              <w:rStyle w:val="22"/>
              <w:rFonts w:hint="eastAsia" w:ascii="宋体" w:hAnsi="宋体" w:eastAsia="宋体" w:cs="宋体"/>
            </w:rPr>
            <w:t>模型设计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_Toc63606980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"_Toc63606981" </w:instrText>
          </w:r>
          <w:r>
            <w:rPr>
              <w:rFonts w:hint="eastAsia" w:ascii="宋体" w:hAnsi="宋体" w:eastAsia="宋体" w:cs="宋体"/>
            </w:rPr>
            <w:fldChar w:fldCharType="separate"/>
          </w:r>
          <w:r>
            <w:rPr>
              <w:rStyle w:val="22"/>
              <w:rFonts w:hint="eastAsia" w:ascii="宋体" w:hAnsi="宋体" w:eastAsia="宋体" w:cs="宋体"/>
            </w:rPr>
            <w:t>3.2</w:t>
          </w:r>
          <w:r>
            <w:rPr>
              <w:rFonts w:hint="eastAsia" w:ascii="宋体" w:hAnsi="宋体" w:eastAsia="宋体" w:cs="宋体"/>
              <w:kern w:val="2"/>
              <w:sz w:val="21"/>
            </w:rPr>
            <w:tab/>
          </w:r>
          <w:r>
            <w:rPr>
              <w:rStyle w:val="22"/>
              <w:rFonts w:hint="eastAsia" w:ascii="宋体" w:hAnsi="宋体" w:eastAsia="宋体" w:cs="宋体"/>
            </w:rPr>
            <w:t>模型结果</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_Toc63606981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3"/>
            <w:tabs>
              <w:tab w:val="left" w:pos="420"/>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"_Toc63606982" </w:instrText>
          </w:r>
          <w:r>
            <w:rPr>
              <w:rFonts w:hint="eastAsia" w:ascii="宋体" w:hAnsi="宋体" w:eastAsia="宋体" w:cs="宋体"/>
            </w:rPr>
            <w:fldChar w:fldCharType="separate"/>
          </w:r>
          <w:r>
            <w:rPr>
              <w:rStyle w:val="22"/>
              <w:rFonts w:hint="eastAsia" w:ascii="宋体" w:hAnsi="宋体" w:eastAsia="宋体" w:cs="宋体"/>
            </w:rPr>
            <w:t>4.</w:t>
          </w:r>
          <w:r>
            <w:rPr>
              <w:rFonts w:hint="eastAsia" w:ascii="宋体" w:hAnsi="宋体" w:eastAsia="宋体" w:cs="宋体"/>
              <w:kern w:val="2"/>
              <w:sz w:val="21"/>
            </w:rPr>
            <w:tab/>
          </w:r>
          <w:r>
            <w:rPr>
              <w:rStyle w:val="22"/>
              <w:rFonts w:hint="eastAsia" w:ascii="宋体" w:hAnsi="宋体" w:eastAsia="宋体" w:cs="宋体"/>
              <w:shd w:val="clear" w:color="auto" w:fill="FFFFFF"/>
            </w:rPr>
            <w:t>对于目标国家的建议及其理论支撑</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_Toc63606982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"_Toc63606983" </w:instrText>
          </w:r>
          <w:r>
            <w:rPr>
              <w:rFonts w:hint="eastAsia" w:ascii="宋体" w:hAnsi="宋体" w:eastAsia="宋体" w:cs="宋体"/>
            </w:rPr>
            <w:fldChar w:fldCharType="separate"/>
          </w:r>
          <w:r>
            <w:rPr>
              <w:rStyle w:val="22"/>
              <w:rFonts w:hint="eastAsia" w:ascii="宋体" w:hAnsi="宋体" w:eastAsia="宋体" w:cs="宋体"/>
            </w:rPr>
            <w:t>4.1</w:t>
          </w:r>
          <w:r>
            <w:rPr>
              <w:rFonts w:hint="eastAsia" w:ascii="宋体" w:hAnsi="宋体" w:eastAsia="宋体" w:cs="宋体"/>
              <w:kern w:val="2"/>
              <w:sz w:val="21"/>
            </w:rPr>
            <w:tab/>
          </w:r>
          <w:r>
            <w:rPr>
              <w:rStyle w:val="22"/>
              <w:rFonts w:hint="eastAsia" w:ascii="宋体" w:hAnsi="宋体" w:eastAsia="宋体" w:cs="宋体"/>
            </w:rPr>
            <w:t>建议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_Toc63606983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"_Toc63606984" </w:instrText>
          </w:r>
          <w:r>
            <w:rPr>
              <w:rFonts w:hint="eastAsia" w:ascii="宋体" w:hAnsi="宋体" w:eastAsia="宋体" w:cs="宋体"/>
            </w:rPr>
            <w:fldChar w:fldCharType="separate"/>
          </w:r>
          <w:r>
            <w:rPr>
              <w:rStyle w:val="22"/>
              <w:rFonts w:hint="eastAsia" w:ascii="宋体" w:hAnsi="宋体" w:eastAsia="宋体" w:cs="宋体"/>
            </w:rPr>
            <w:t>4.2</w:t>
          </w:r>
          <w:r>
            <w:rPr>
              <w:rFonts w:hint="eastAsia" w:ascii="宋体" w:hAnsi="宋体" w:eastAsia="宋体" w:cs="宋体"/>
              <w:kern w:val="2"/>
              <w:sz w:val="21"/>
            </w:rPr>
            <w:tab/>
          </w:r>
          <w:r>
            <w:rPr>
              <w:rStyle w:val="22"/>
              <w:rFonts w:hint="eastAsia" w:ascii="宋体" w:hAnsi="宋体" w:eastAsia="宋体" w:cs="宋体"/>
            </w:rPr>
            <w:t>理论分析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_Toc63606984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3"/>
            <w:tabs>
              <w:tab w:val="left" w:pos="420"/>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"_Toc63606985" </w:instrText>
          </w:r>
          <w:r>
            <w:rPr>
              <w:rFonts w:hint="eastAsia" w:ascii="宋体" w:hAnsi="宋体" w:eastAsia="宋体" w:cs="宋体"/>
            </w:rPr>
            <w:fldChar w:fldCharType="separate"/>
          </w:r>
          <w:r>
            <w:rPr>
              <w:rStyle w:val="22"/>
              <w:rFonts w:hint="eastAsia" w:ascii="宋体" w:hAnsi="宋体" w:eastAsia="宋体" w:cs="宋体"/>
            </w:rPr>
            <w:t>5.</w:t>
          </w:r>
          <w:r>
            <w:rPr>
              <w:rFonts w:hint="eastAsia" w:ascii="宋体" w:hAnsi="宋体" w:eastAsia="宋体" w:cs="宋体"/>
              <w:kern w:val="2"/>
              <w:sz w:val="21"/>
            </w:rPr>
            <w:tab/>
          </w:r>
          <w:r>
            <w:rPr>
              <w:rStyle w:val="22"/>
              <w:rFonts w:hint="eastAsia" w:ascii="宋体" w:hAnsi="宋体" w:eastAsia="宋体" w:cs="宋体"/>
              <w:shd w:val="clear" w:color="auto" w:fill="FFFFFF"/>
            </w:rPr>
            <w:t>结论</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_Toc63606985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"_Toc63606986" </w:instrText>
          </w:r>
          <w:r>
            <w:rPr>
              <w:rFonts w:hint="eastAsia" w:ascii="宋体" w:hAnsi="宋体" w:eastAsia="宋体" w:cs="宋体"/>
            </w:rPr>
            <w:fldChar w:fldCharType="separate"/>
          </w:r>
          <w:r>
            <w:rPr>
              <w:rStyle w:val="22"/>
              <w:rFonts w:hint="eastAsia" w:ascii="宋体" w:hAnsi="宋体" w:eastAsia="宋体" w:cs="宋体"/>
            </w:rPr>
            <w:t>5.1</w:t>
          </w:r>
          <w:r>
            <w:rPr>
              <w:rFonts w:hint="eastAsia" w:ascii="宋体" w:hAnsi="宋体" w:eastAsia="宋体" w:cs="宋体"/>
              <w:kern w:val="2"/>
              <w:sz w:val="21"/>
            </w:rPr>
            <w:tab/>
          </w:r>
          <w:r>
            <w:rPr>
              <w:rStyle w:val="22"/>
              <w:rFonts w:hint="eastAsia" w:ascii="宋体" w:hAnsi="宋体" w:eastAsia="宋体" w:cs="宋体"/>
            </w:rPr>
            <w:t>优点和缺点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_Toc63606986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296"/>
            </w:tabs>
            <w:ind w:left="88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"_Toc63606987" </w:instrText>
          </w:r>
          <w:r>
            <w:rPr>
              <w:rFonts w:hint="eastAsia" w:ascii="宋体" w:hAnsi="宋体" w:eastAsia="宋体" w:cs="宋体"/>
            </w:rPr>
            <w:fldChar w:fldCharType="separate"/>
          </w:r>
          <w:r>
            <w:rPr>
              <w:rStyle w:val="22"/>
              <w:rFonts w:hint="eastAsia" w:ascii="宋体" w:hAnsi="宋体" w:eastAsia="宋体" w:cs="宋体"/>
            </w:rPr>
            <w:t>5.1.1 优点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_Toc63606987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296"/>
            </w:tabs>
            <w:ind w:left="88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"_Toc63606988" </w:instrText>
          </w:r>
          <w:r>
            <w:rPr>
              <w:rFonts w:hint="eastAsia" w:ascii="宋体" w:hAnsi="宋体" w:eastAsia="宋体" w:cs="宋体"/>
            </w:rPr>
            <w:fldChar w:fldCharType="separate"/>
          </w:r>
          <w:r>
            <w:rPr>
              <w:rStyle w:val="22"/>
              <w:rFonts w:hint="eastAsia" w:ascii="宋体" w:hAnsi="宋体" w:eastAsia="宋体" w:cs="宋体"/>
            </w:rPr>
            <w:t>5.1.2 缺点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_Toc63606988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"_Toc63606989" </w:instrText>
          </w:r>
          <w:r>
            <w:rPr>
              <w:rFonts w:hint="eastAsia" w:ascii="宋体" w:hAnsi="宋体" w:eastAsia="宋体" w:cs="宋体"/>
            </w:rPr>
            <w:fldChar w:fldCharType="separate"/>
          </w:r>
          <w:r>
            <w:rPr>
              <w:rStyle w:val="22"/>
              <w:rFonts w:hint="eastAsia" w:ascii="宋体" w:hAnsi="宋体" w:eastAsia="宋体" w:cs="宋体"/>
            </w:rPr>
            <w:t>5.2</w:t>
          </w:r>
          <w:r>
            <w:rPr>
              <w:rFonts w:hint="eastAsia" w:ascii="宋体" w:hAnsi="宋体" w:eastAsia="宋体" w:cs="宋体"/>
              <w:kern w:val="2"/>
              <w:sz w:val="21"/>
            </w:rPr>
            <w:tab/>
          </w:r>
          <w:r>
            <w:rPr>
              <w:rStyle w:val="22"/>
              <w:rFonts w:hint="eastAsia" w:ascii="宋体" w:hAnsi="宋体" w:eastAsia="宋体" w:cs="宋体"/>
            </w:rPr>
            <w:t>理论分析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_Toc63606989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"_Toc63606990" </w:instrText>
          </w:r>
          <w:r>
            <w:rPr>
              <w:rFonts w:hint="eastAsia" w:ascii="宋体" w:hAnsi="宋体" w:eastAsia="宋体" w:cs="宋体"/>
            </w:rPr>
            <w:fldChar w:fldCharType="separate"/>
          </w:r>
          <w:r>
            <w:rPr>
              <w:rStyle w:val="22"/>
              <w:rFonts w:hint="eastAsia" w:ascii="宋体" w:hAnsi="宋体" w:eastAsia="宋体" w:cs="宋体"/>
              <w:shd w:val="clear" w:color="auto" w:fill="FFFFFF"/>
            </w:rPr>
            <w:t>附录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_Toc63606990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rPr>
              <w:rFonts w:hint="eastAsia" w:ascii="宋体" w:hAnsi="宋体" w:eastAsia="宋体" w:cs="宋体"/>
            </w:rPr>
          </w:pPr>
          <w:r>
            <w:rPr>
              <w:rFonts w:hint="eastAsia" w:ascii="宋体" w:hAnsi="宋体" w:eastAsia="宋体" w:cs="宋体"/>
              <w:b/>
              <w:bCs/>
              <w:lang w:val="zh-CN"/>
            </w:rPr>
            <w:fldChar w:fldCharType="end"/>
          </w:r>
        </w:p>
      </w:sdtContent>
    </w:sdt>
    <w:p>
      <w:pPr>
        <w:pStyle w:val="2"/>
        <w:numPr>
          <w:ilvl w:val="0"/>
          <w:numId w:val="1"/>
        </w:numPr>
        <w:rPr>
          <w:rFonts w:hint="eastAsia" w:ascii="宋体" w:hAnsi="宋体" w:eastAsia="宋体" w:cs="宋体"/>
          <w:shd w:val="clear" w:color="auto" w:fill="FFFFFF"/>
        </w:rPr>
      </w:pPr>
      <w:bookmarkStart w:id="0" w:name="_Toc63606970"/>
      <w:r>
        <w:rPr>
          <w:rFonts w:hint="eastAsia" w:ascii="宋体" w:hAnsi="宋体" w:eastAsia="宋体" w:cs="宋体"/>
          <w:shd w:val="clear" w:color="auto" w:fill="FFFFFF"/>
        </w:rPr>
        <w:t>问题重述</w:t>
      </w:r>
      <w:bookmarkEnd w:id="0"/>
    </w:p>
    <w:p>
      <w:pPr>
        <w:pStyle w:val="3"/>
        <w:numPr>
          <w:ilvl w:val="1"/>
          <w:numId w:val="1"/>
        </w:numPr>
        <w:rPr>
          <w:rFonts w:hint="eastAsia" w:ascii="宋体" w:hAnsi="宋体" w:eastAsia="宋体" w:cs="宋体"/>
        </w:rPr>
      </w:pPr>
      <w:bookmarkStart w:id="1" w:name="_Toc63606971"/>
      <w:r>
        <w:rPr>
          <w:rFonts w:hint="eastAsia" w:ascii="宋体" w:hAnsi="宋体" w:eastAsia="宋体" w:cs="宋体"/>
        </w:rPr>
        <w:t>背景</w:t>
      </w:r>
      <w:bookmarkEnd w:id="1"/>
    </w:p>
    <w:p>
      <w:pPr>
        <w:pStyle w:val="4"/>
        <w:numPr>
          <w:ilvl w:val="2"/>
          <w:numId w:val="1"/>
        </w:numPr>
        <w:ind w:left="720" w:leftChars="0" w:hanging="720" w:firstLineChars="0"/>
        <w:rPr>
          <w:rFonts w:hint="eastAsia" w:ascii="宋体" w:hAnsi="宋体" w:eastAsia="宋体" w:cs="宋体"/>
        </w:rPr>
      </w:pPr>
      <w:bookmarkStart w:id="2" w:name="_Toc63606972"/>
      <w:r>
        <w:rPr>
          <w:rFonts w:hint="eastAsia" w:ascii="宋体" w:hAnsi="宋体" w:eastAsia="宋体" w:cs="宋体"/>
        </w:rPr>
        <w:t>问题概述</w:t>
      </w:r>
      <w:bookmarkEnd w:id="2"/>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高等教育系统一个国家提高自己公民知识与文化素质的一个重要组成部分，国家的长久良好发展离不开一个健康，可持续的高等教育系统。每个国家的高等教育方式各不相同，每种方式都有其优缺点，现在就存在两个需要解决的问题，第一个是如何评估一个国家的高等教育系统是否健康，这个国家对应的高等教育系统是否是可持续的。第二个就是如果对应的高等教育系统存在可以改进的地方，如何根据这个国家的实际情况，制定一些政策和改革时间表，优化这个高等教育系统。</w:t>
      </w:r>
    </w:p>
    <w:p>
      <w:pPr>
        <w:pStyle w:val="4"/>
        <w:numPr>
          <w:ilvl w:val="2"/>
          <w:numId w:val="1"/>
        </w:numPr>
        <w:ind w:left="720" w:leftChars="0" w:hanging="720" w:firstLineChars="0"/>
        <w:rPr>
          <w:rFonts w:hint="eastAsia" w:ascii="宋体" w:hAnsi="宋体" w:eastAsia="宋体" w:cs="宋体"/>
        </w:rPr>
      </w:pPr>
      <w:bookmarkStart w:id="3" w:name="_Toc63606973"/>
      <w:r>
        <w:rPr>
          <w:rFonts w:hint="eastAsia" w:ascii="宋体" w:hAnsi="宋体" w:eastAsia="宋体" w:cs="宋体"/>
        </w:rPr>
        <w:t>评价高等教育的因素</w:t>
      </w:r>
      <w:bookmarkEnd w:id="3"/>
    </w:p>
    <w:p>
      <w:pPr>
        <w:numPr>
          <w:ilvl w:val="0"/>
          <w:numId w:val="2"/>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高等教育入学率：毛入学率用来测量，并得出在高等教育中，入学学生数对比符合入学的居民数的比率[1]。这个可以用来反映一个国家的高等学校的招生规模，学生毕业情况等。</w:t>
      </w:r>
    </w:p>
    <w:p>
      <w:pPr>
        <w:numPr>
          <w:ilvl w:val="0"/>
          <w:numId w:val="2"/>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高等教育学生人均政府支出（占人均GDP）：直观反映政府对于高等教育的资金投入情况，从而了解该国家对于高等教育的重视情况。</w:t>
      </w:r>
    </w:p>
    <w:p>
      <w:pPr>
        <w:numPr>
          <w:ilvl w:val="0"/>
          <w:numId w:val="2"/>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受高等教育人数占总人数的（25岁以上的）比例：通过这个数据，可以得知该国家以前的高等教育系统建立的是否完善，国民高等教育普及情况。</w:t>
      </w:r>
    </w:p>
    <w:p>
      <w:pPr>
        <w:numPr>
          <w:ilvl w:val="0"/>
          <w:numId w:val="2"/>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国家近年来的发表的科学与技术文章：了解该国的高等教育发展水平，同时反映受过高等教育的公民他们的科研能力。</w:t>
      </w:r>
    </w:p>
    <w:p>
      <w:pPr>
        <w:numPr>
          <w:ilvl w:val="0"/>
          <w:numId w:val="2"/>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高等教育毕业率：通过学生毕业情况，可以知道学生得学习情况以及高校对于学生的要求。</w:t>
      </w:r>
    </w:p>
    <w:p>
      <w:pPr>
        <w:pStyle w:val="3"/>
        <w:numPr>
          <w:ilvl w:val="1"/>
          <w:numId w:val="1"/>
        </w:numPr>
        <w:rPr>
          <w:rFonts w:hint="eastAsia" w:ascii="宋体" w:hAnsi="宋体" w:eastAsia="宋体" w:cs="宋体"/>
        </w:rPr>
      </w:pPr>
      <w:bookmarkStart w:id="4" w:name="_Toc63606974"/>
      <w:r>
        <w:rPr>
          <w:rFonts w:hint="eastAsia" w:ascii="宋体" w:hAnsi="宋体" w:eastAsia="宋体" w:cs="宋体"/>
        </w:rPr>
        <w:t>文献综述</w:t>
      </w:r>
      <w:bookmarkEnd w:id="4"/>
    </w:p>
    <w:p>
      <w:pPr>
        <w:pStyle w:val="3"/>
        <w:numPr>
          <w:ilvl w:val="1"/>
          <w:numId w:val="1"/>
        </w:numPr>
        <w:rPr>
          <w:rFonts w:hint="eastAsia" w:ascii="宋体" w:hAnsi="宋体" w:eastAsia="宋体" w:cs="宋体"/>
        </w:rPr>
      </w:pPr>
      <w:bookmarkStart w:id="5" w:name="_Toc63606975"/>
      <w:r>
        <w:rPr>
          <w:rFonts w:hint="eastAsia" w:ascii="宋体" w:hAnsi="宋体" w:eastAsia="宋体" w:cs="宋体"/>
        </w:rPr>
        <w:t>任务</w:t>
      </w:r>
      <w:bookmarkEnd w:id="5"/>
    </w:p>
    <w:p>
      <w:pPr>
        <w:numPr>
          <w:ilvl w:val="0"/>
          <w:numId w:val="3"/>
        </w:numPr>
        <w:rPr>
          <w:rFonts w:hint="eastAsia" w:ascii="宋体" w:hAnsi="宋体" w:eastAsia="宋体" w:cs="宋体"/>
          <w:sz w:val="24"/>
          <w:szCs w:val="24"/>
        </w:rPr>
      </w:pPr>
      <w:r>
        <w:rPr>
          <w:rFonts w:hint="eastAsia" w:ascii="宋体" w:hAnsi="宋体" w:eastAsia="宋体" w:cs="宋体"/>
          <w:sz w:val="24"/>
          <w:szCs w:val="24"/>
        </w:rPr>
        <w:t>开发并验证一个模型或一组模型，使您可以评估任何国家的高等教育系统的健康状况； </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将您的模型应用到多个国家，然后根据您的分析选择一个高等教育系统仍有改善空间的国家； </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为所选国家/地区的系统提出可实现且合理的愿景，以支持健康，可持续的高等教育系统； </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使用您的模型来衡量当前系统以及所选国家/地区建议的，健康，可持续的系统的健康状况； </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 xml:space="preserve">提出有针对性的政策和实施时间表，以支持从当前状态到提议状态的迁移； </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使用您的模型来制定和/或评估政策的有效性；</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讨论在过渡期和最终状态下实施计划的现实世界影响（例如，对学生，教师，学校，社区，国家的影响），并承认现实是变革很难。</w:t>
      </w:r>
    </w:p>
    <w:p>
      <w:pPr>
        <w:numPr>
          <w:ilvl w:val="0"/>
          <w:numId w:val="0"/>
        </w:numPr>
        <w:rPr>
          <w:rFonts w:hint="eastAsia" w:ascii="宋体" w:hAnsi="宋体" w:eastAsia="宋体" w:cs="宋体"/>
          <w:lang w:val="en-US" w:eastAsia="zh-CN"/>
        </w:rPr>
      </w:pPr>
    </w:p>
    <w:p>
      <w:pPr>
        <w:rPr>
          <w:rFonts w:hint="eastAsia" w:ascii="宋体" w:hAnsi="宋体" w:eastAsia="宋体" w:cs="宋体"/>
        </w:rPr>
      </w:pPr>
    </w:p>
    <w:p>
      <w:pPr>
        <w:rPr>
          <w:rFonts w:hint="eastAsia" w:ascii="宋体" w:hAnsi="宋体" w:eastAsia="宋体" w:cs="宋体"/>
        </w:rPr>
      </w:pPr>
    </w:p>
    <w:p>
      <w:pPr>
        <w:pStyle w:val="2"/>
        <w:numPr>
          <w:ilvl w:val="0"/>
          <w:numId w:val="1"/>
        </w:numPr>
        <w:rPr>
          <w:rFonts w:hint="eastAsia" w:ascii="宋体" w:hAnsi="宋体" w:eastAsia="宋体" w:cs="宋体"/>
          <w:shd w:val="clear" w:color="auto" w:fill="FFFFFF"/>
        </w:rPr>
      </w:pPr>
      <w:bookmarkStart w:id="6" w:name="_Toc63606976"/>
      <w:r>
        <w:rPr>
          <w:rFonts w:hint="eastAsia" w:ascii="宋体" w:hAnsi="宋体" w:eastAsia="宋体" w:cs="宋体"/>
          <w:shd w:val="clear" w:color="auto" w:fill="FFFFFF"/>
        </w:rPr>
        <w:t>模型假设和符号</w:t>
      </w:r>
      <w:bookmarkEnd w:id="6"/>
    </w:p>
    <w:p>
      <w:pPr>
        <w:pStyle w:val="3"/>
        <w:numPr>
          <w:ilvl w:val="1"/>
          <w:numId w:val="1"/>
        </w:numPr>
        <w:rPr>
          <w:rFonts w:hint="eastAsia" w:ascii="宋体" w:hAnsi="宋体" w:eastAsia="宋体" w:cs="宋体"/>
        </w:rPr>
      </w:pPr>
      <w:bookmarkStart w:id="7" w:name="_Toc63606977"/>
      <w:r>
        <w:rPr>
          <w:rFonts w:hint="eastAsia" w:ascii="宋体" w:hAnsi="宋体" w:eastAsia="宋体" w:cs="宋体"/>
        </w:rPr>
        <w:t>假设和理由</w:t>
      </w:r>
      <w:bookmarkEnd w:id="7"/>
    </w:p>
    <w:p>
      <w:pPr>
        <w:pStyle w:val="3"/>
        <w:numPr>
          <w:ilvl w:val="1"/>
          <w:numId w:val="1"/>
        </w:numPr>
        <w:rPr>
          <w:rFonts w:hint="eastAsia" w:ascii="宋体" w:hAnsi="宋体" w:eastAsia="宋体" w:cs="宋体"/>
        </w:rPr>
      </w:pPr>
      <w:bookmarkStart w:id="8" w:name="_Toc63606978"/>
      <w:r>
        <w:rPr>
          <w:rFonts w:hint="eastAsia" w:ascii="宋体" w:hAnsi="宋体" w:eastAsia="宋体" w:cs="宋体"/>
        </w:rPr>
        <w:t>符号</w:t>
      </w:r>
      <w:bookmarkEnd w:id="8"/>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符号</w:t>
            </w:r>
          </w:p>
        </w:tc>
        <w:tc>
          <w:tcPr>
            <w:tcW w:w="4261" w:type="dxa"/>
            <w:vAlign w:val="center"/>
          </w:tcPr>
          <w:p>
            <w:pPr>
              <w:widowControl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eastAsia" w:ascii="宋体" w:hAnsi="宋体" w:eastAsia="宋体" w:cs="宋体"/>
                <w:vertAlign w:val="baseline"/>
                <w:lang w:val="en-US" w:eastAsia="zh-CN"/>
              </w:rPr>
            </w:pPr>
            <w:r>
              <w:rPr>
                <w:rFonts w:hint="eastAsia" w:ascii="宋体" w:hAnsi="宋体" w:eastAsia="宋体" w:cs="宋体"/>
                <w:vertAlign w:val="baseline"/>
              </w:rPr>
              <w:t>E</w:t>
            </w:r>
            <w:r>
              <w:rPr>
                <w:rFonts w:hint="eastAsia" w:ascii="宋体" w:hAnsi="宋体" w:eastAsia="宋体" w:cs="宋体"/>
                <w:vertAlign w:val="baseline"/>
                <w:lang w:val="en-US" w:eastAsia="zh-CN"/>
              </w:rPr>
              <w:t>R</w:t>
            </w:r>
          </w:p>
        </w:tc>
        <w:tc>
          <w:tcPr>
            <w:tcW w:w="4261" w:type="dxa"/>
            <w:vAlign w:val="center"/>
          </w:tcPr>
          <w:p>
            <w:pPr>
              <w:widowControl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Higher education enrollment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GE</w:t>
            </w:r>
          </w:p>
        </w:tc>
        <w:tc>
          <w:tcPr>
            <w:tcW w:w="4261" w:type="dxa"/>
            <w:vAlign w:val="center"/>
          </w:tcPr>
          <w:p>
            <w:pPr>
              <w:widowControl w:val="0"/>
              <w:jc w:val="center"/>
              <w:rPr>
                <w:rFonts w:hint="eastAsia" w:ascii="宋体" w:hAnsi="宋体" w:eastAsia="宋体" w:cs="宋体"/>
                <w:vertAlign w:val="baseline"/>
              </w:rPr>
            </w:pPr>
            <w:r>
              <w:rPr>
                <w:rFonts w:hint="eastAsia" w:ascii="宋体" w:hAnsi="宋体" w:eastAsia="宋体" w:cs="宋体"/>
                <w:vertAlign w:val="baseline"/>
              </w:rPr>
              <w:t>Government expenditure per student, tertiary (% of GDP per capita)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2" w:hRule="atLeast"/>
        </w:trPr>
        <w:tc>
          <w:tcPr>
            <w:tcW w:w="4261" w:type="dxa"/>
            <w:vAlign w:val="center"/>
          </w:tcPr>
          <w:p>
            <w:pPr>
              <w:widowControl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EA</w:t>
            </w:r>
          </w:p>
        </w:tc>
        <w:tc>
          <w:tcPr>
            <w:tcW w:w="4261" w:type="dxa"/>
            <w:vAlign w:val="center"/>
          </w:tcPr>
          <w:p>
            <w:pPr>
              <w:widowControl w:val="0"/>
              <w:jc w:val="center"/>
              <w:rPr>
                <w:rFonts w:hint="eastAsia" w:ascii="宋体" w:hAnsi="宋体" w:eastAsia="宋体" w:cs="宋体"/>
                <w:vertAlign w:val="baseline"/>
              </w:rPr>
            </w:pPr>
            <w:r>
              <w:rPr>
                <w:rFonts w:hint="eastAsia" w:ascii="宋体" w:hAnsi="宋体" w:eastAsia="宋体" w:cs="宋体"/>
                <w:vertAlign w:val="baseline"/>
              </w:rPr>
              <w:t>Educational attainment, at least completed short-cycle tertiary, population 25+, total (%) (cumulative)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NA</w:t>
            </w:r>
          </w:p>
        </w:tc>
        <w:tc>
          <w:tcPr>
            <w:tcW w:w="4261" w:type="dxa"/>
            <w:vAlign w:val="center"/>
          </w:tcPr>
          <w:p>
            <w:pPr>
              <w:widowControl w:val="0"/>
              <w:jc w:val="center"/>
              <w:rPr>
                <w:rFonts w:hint="eastAsia" w:ascii="宋体" w:hAnsi="宋体" w:eastAsia="宋体" w:cs="宋体"/>
                <w:color w:val="auto"/>
                <w:sz w:val="22"/>
                <w:szCs w:val="22"/>
                <w:vertAlign w:val="baseline"/>
              </w:rPr>
            </w:pPr>
            <w:r>
              <w:rPr>
                <w:rFonts w:hint="eastAsia" w:ascii="宋体" w:hAnsi="宋体" w:eastAsia="宋体" w:cs="宋体"/>
                <w:i w:val="0"/>
                <w:caps w:val="0"/>
                <w:color w:val="auto"/>
                <w:spacing w:val="0"/>
                <w:sz w:val="22"/>
                <w:szCs w:val="22"/>
                <w:shd w:val="clear" w:fill="FFFFFF"/>
              </w:rPr>
              <w:t>Number of scientific and technical articles published each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GR</w:t>
            </w:r>
          </w:p>
        </w:tc>
        <w:tc>
          <w:tcPr>
            <w:tcW w:w="4261" w:type="dxa"/>
            <w:vAlign w:val="center"/>
          </w:tcPr>
          <w:p>
            <w:pPr>
              <w:widowControl w:val="0"/>
              <w:jc w:val="center"/>
              <w:rPr>
                <w:rFonts w:hint="eastAsia" w:ascii="宋体" w:hAnsi="宋体" w:eastAsia="宋体" w:cs="宋体"/>
                <w:color w:val="auto"/>
                <w:sz w:val="22"/>
                <w:szCs w:val="22"/>
                <w:vertAlign w:val="baseline"/>
              </w:rPr>
            </w:pPr>
            <w:r>
              <w:rPr>
                <w:rFonts w:hint="eastAsia" w:ascii="宋体" w:hAnsi="宋体" w:eastAsia="宋体" w:cs="宋体"/>
                <w:i w:val="0"/>
                <w:caps w:val="0"/>
                <w:color w:val="auto"/>
                <w:spacing w:val="0"/>
                <w:sz w:val="22"/>
                <w:szCs w:val="22"/>
                <w:shd w:val="clear" w:fill="FFFFFF"/>
              </w:rPr>
              <w:t>Gross graduation ratio for tertiary education</w:t>
            </w:r>
          </w:p>
        </w:tc>
      </w:tr>
    </w:tbl>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pStyle w:val="2"/>
        <w:numPr>
          <w:ilvl w:val="0"/>
          <w:numId w:val="1"/>
        </w:numPr>
        <w:rPr>
          <w:rFonts w:hint="eastAsia" w:ascii="宋体" w:hAnsi="宋体" w:eastAsia="宋体" w:cs="宋体"/>
          <w:shd w:val="clear" w:color="auto" w:fill="FFFFFF"/>
        </w:rPr>
      </w:pPr>
      <w:bookmarkStart w:id="9" w:name="_Toc63606979"/>
      <w:r>
        <w:rPr>
          <w:rFonts w:hint="eastAsia" w:ascii="宋体" w:hAnsi="宋体" w:eastAsia="宋体" w:cs="宋体"/>
          <w:shd w:val="clear" w:color="auto" w:fill="FFFFFF"/>
        </w:rPr>
        <w:t>评分的基本模型</w:t>
      </w:r>
      <w:bookmarkEnd w:id="9"/>
    </w:p>
    <w:p>
      <w:pPr>
        <w:pStyle w:val="3"/>
        <w:numPr>
          <w:ilvl w:val="1"/>
          <w:numId w:val="1"/>
        </w:numPr>
        <w:rPr>
          <w:rFonts w:hint="default" w:eastAsia="宋体"/>
          <w:lang w:val="en-US" w:eastAsia="zh-CN"/>
        </w:rPr>
      </w:pPr>
      <w:bookmarkStart w:id="10" w:name="_Toc63606980"/>
      <w:r>
        <w:rPr>
          <w:rFonts w:hint="eastAsia" w:ascii="宋体" w:hAnsi="宋体" w:eastAsia="宋体" w:cs="宋体"/>
        </w:rPr>
        <w:t>模型设计</w:t>
      </w:r>
      <w:bookmarkEnd w:id="10"/>
    </w:p>
    <w:p>
      <w:pPr>
        <w:pStyle w:val="3"/>
        <w:numPr>
          <w:ilvl w:val="1"/>
          <w:numId w:val="1"/>
        </w:numPr>
        <w:rPr>
          <w:rFonts w:hint="eastAsia" w:ascii="宋体" w:hAnsi="宋体" w:eastAsia="宋体" w:cs="宋体"/>
        </w:rPr>
      </w:pPr>
      <w:bookmarkStart w:id="11" w:name="_Toc63606981"/>
      <w:r>
        <w:rPr>
          <w:rFonts w:hint="eastAsia" w:ascii="宋体" w:hAnsi="宋体" w:eastAsia="宋体" w:cs="宋体"/>
        </w:rPr>
        <w:t>模型结果</w:t>
      </w:r>
      <w:bookmarkEnd w:id="11"/>
    </w:p>
    <w:p>
      <w:pPr>
        <w:rPr>
          <w:rFonts w:hint="eastAsia" w:ascii="宋体" w:hAnsi="宋体" w:eastAsia="宋体" w:cs="宋体"/>
        </w:rPr>
      </w:pPr>
    </w:p>
    <w:p>
      <w:pPr>
        <w:rPr>
          <w:rFonts w:hint="eastAsia" w:ascii="宋体" w:hAnsi="宋体" w:eastAsia="宋体" w:cs="宋体"/>
        </w:rPr>
      </w:pPr>
    </w:p>
    <w:p>
      <w:pPr>
        <w:pStyle w:val="2"/>
        <w:numPr>
          <w:ilvl w:val="0"/>
          <w:numId w:val="1"/>
        </w:numPr>
        <w:rPr>
          <w:rFonts w:hint="eastAsia" w:ascii="宋体" w:hAnsi="宋体" w:eastAsia="宋体" w:cs="宋体"/>
          <w:shd w:val="clear" w:color="auto" w:fill="FFFFFF"/>
        </w:rPr>
      </w:pPr>
      <w:bookmarkStart w:id="12" w:name="_Toc63606982"/>
      <w:r>
        <w:rPr>
          <w:rFonts w:hint="eastAsia" w:ascii="宋体" w:hAnsi="宋体" w:eastAsia="宋体" w:cs="宋体"/>
          <w:shd w:val="clear" w:color="auto" w:fill="FFFFFF"/>
        </w:rPr>
        <w:t>对于目标国家的建议及其理论支撑</w:t>
      </w:r>
      <w:bookmarkEnd w:id="12"/>
    </w:p>
    <w:p>
      <w:pPr>
        <w:pStyle w:val="3"/>
        <w:numPr>
          <w:ilvl w:val="1"/>
          <w:numId w:val="1"/>
        </w:numPr>
        <w:rPr>
          <w:rFonts w:hint="eastAsia" w:ascii="宋体" w:hAnsi="宋体" w:eastAsia="宋体" w:cs="宋体"/>
        </w:rPr>
      </w:pPr>
      <w:bookmarkStart w:id="13" w:name="_Toc63606983"/>
      <w:r>
        <w:rPr>
          <w:rFonts w:hint="eastAsia" w:ascii="宋体" w:hAnsi="宋体" w:eastAsia="宋体" w:cs="宋体"/>
        </w:rPr>
        <w:t>建议</w:t>
      </w:r>
      <w:bookmarkEnd w:id="13"/>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根据所选四个国家的评分对比，我们发现墨西哥是其中更加值得关注的，因为从评分来看墨西哥高等教育的健康程度相对更低，也意味着它有更大的提升和改善的空间，所以我们选择墨西哥作为目标国家。</w:t>
      </w:r>
    </w:p>
    <w:p>
      <w:pPr>
        <w:ind w:firstLine="420" w:firstLineChars="0"/>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3387725" cy="2541270"/>
            <wp:effectExtent l="0" t="0" r="10795" b="3810"/>
            <wp:docPr id="1" name="图片 1" descr="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
                    <pic:cNvPicPr>
                      <a:picLocks noChangeAspect="1"/>
                    </pic:cNvPicPr>
                  </pic:nvPicPr>
                  <pic:blipFill>
                    <a:blip r:embed="rId4"/>
                    <a:stretch>
                      <a:fillRect/>
                    </a:stretch>
                  </pic:blipFill>
                  <pic:spPr>
                    <a:xfrm>
                      <a:off x="0" y="0"/>
                      <a:ext cx="3387725" cy="2541270"/>
                    </a:xfrm>
                    <a:prstGeom prst="rect">
                      <a:avLst/>
                    </a:prstGeom>
                  </pic:spPr>
                </pic:pic>
              </a:graphicData>
            </a:graphic>
          </wp:inline>
        </w:drawing>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通过四个国家2018年各项指标数据的对比，可以很明显地看到一些问题，比如与其他几个国家相比，墨西哥在拥有最高的GE值的情况下，其他几项指标的值却均为最低，也就是说无论从哪方面来看，墨西哥的高等教育相关产出都与它极高的高等教育人均政府支出占比不成正比，这显然是存在问题的。</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要为一个国家的高等教育事业提出一些建议，以提高其健康程度和可持续性，不仅需要关注该国高等教育情况的现状，更要结合多年以来该国高等教育相关各项指标的变化趋势。所以我们又利用灰色模型和线性回归模型来对墨西哥各项指标未来几年的变化情况进行了预测。</w:t>
      </w:r>
    </w:p>
    <w:p>
      <w:pPr>
        <w:rPr>
          <w:rFonts w:hint="default" w:ascii="宋体" w:hAnsi="宋体" w:eastAsia="宋体" w:cs="宋体"/>
          <w:lang w:val="en-US" w:eastAsia="zh-CN"/>
        </w:rPr>
      </w:pPr>
      <w:r>
        <w:rPr>
          <w:rFonts w:hint="default" w:ascii="宋体" w:hAnsi="宋体" w:eastAsia="宋体" w:cs="宋体"/>
          <w:lang w:val="en-US" w:eastAsia="zh-CN"/>
        </w:rPr>
        <w:drawing>
          <wp:inline distT="0" distB="0" distL="114300" distR="114300">
            <wp:extent cx="2586355" cy="1940560"/>
            <wp:effectExtent l="0" t="0" r="4445" b="10160"/>
            <wp:docPr id="2" name="图片 2" descr="fit_school_enrollm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t_school_enrollment (1)"/>
                    <pic:cNvPicPr>
                      <a:picLocks noChangeAspect="1"/>
                    </pic:cNvPicPr>
                  </pic:nvPicPr>
                  <pic:blipFill>
                    <a:blip r:embed="rId5"/>
                    <a:stretch>
                      <a:fillRect/>
                    </a:stretch>
                  </pic:blipFill>
                  <pic:spPr>
                    <a:xfrm>
                      <a:off x="0" y="0"/>
                      <a:ext cx="2586355" cy="1940560"/>
                    </a:xfrm>
                    <a:prstGeom prst="rect">
                      <a:avLst/>
                    </a:prstGeom>
                  </pic:spPr>
                </pic:pic>
              </a:graphicData>
            </a:graphic>
          </wp:inline>
        </w:drawing>
      </w:r>
      <w:r>
        <w:rPr>
          <w:rFonts w:hint="eastAsia" w:ascii="宋体" w:hAnsi="宋体" w:eastAsia="宋体" w:cs="宋体"/>
          <w:lang w:val="en-US" w:eastAsia="zh-CN"/>
        </w:rPr>
        <w:t xml:space="preserve"> </w:t>
      </w:r>
      <w:r>
        <w:rPr>
          <w:rFonts w:hint="default" w:ascii="宋体" w:hAnsi="宋体" w:eastAsia="宋体" w:cs="宋体"/>
          <w:lang w:val="en-US" w:eastAsia="zh-CN"/>
        </w:rPr>
        <w:drawing>
          <wp:inline distT="0" distB="0" distL="114300" distR="114300">
            <wp:extent cx="2576195" cy="1933575"/>
            <wp:effectExtent l="0" t="0" r="14605" b="1905"/>
            <wp:docPr id="3" name="图片 3" descr="fit_journal_articl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t_journal_articles (1)"/>
                    <pic:cNvPicPr>
                      <a:picLocks noChangeAspect="1"/>
                    </pic:cNvPicPr>
                  </pic:nvPicPr>
                  <pic:blipFill>
                    <a:blip r:embed="rId6"/>
                    <a:stretch>
                      <a:fillRect/>
                    </a:stretch>
                  </pic:blipFill>
                  <pic:spPr>
                    <a:xfrm>
                      <a:off x="0" y="0"/>
                      <a:ext cx="2576195" cy="1933575"/>
                    </a:xfrm>
                    <a:prstGeom prst="rect">
                      <a:avLst/>
                    </a:prstGeom>
                  </pic:spPr>
                </pic:pic>
              </a:graphicData>
            </a:graphic>
          </wp:inline>
        </w:drawing>
      </w:r>
    </w:p>
    <w:p>
      <w:pPr>
        <w:rPr>
          <w:rFonts w:hint="eastAsia" w:ascii="宋体" w:hAnsi="宋体" w:eastAsia="宋体" w:cs="宋体"/>
          <w:lang w:val="en-US" w:eastAsia="zh-CN"/>
        </w:rPr>
      </w:pPr>
      <w:r>
        <w:rPr>
          <w:rFonts w:hint="default" w:ascii="宋体" w:hAnsi="宋体" w:eastAsia="宋体" w:cs="宋体"/>
          <w:lang w:val="en-US" w:eastAsia="zh-CN"/>
        </w:rPr>
        <w:drawing>
          <wp:inline distT="0" distB="0" distL="114300" distR="114300">
            <wp:extent cx="2566670" cy="1925955"/>
            <wp:effectExtent l="0" t="0" r="8890" b="9525"/>
            <wp:docPr id="4" name="图片 4" descr="fit_gross_graduation_rat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t_gross_graduation_ratio (1)"/>
                    <pic:cNvPicPr>
                      <a:picLocks noChangeAspect="1"/>
                    </pic:cNvPicPr>
                  </pic:nvPicPr>
                  <pic:blipFill>
                    <a:blip r:embed="rId7"/>
                    <a:stretch>
                      <a:fillRect/>
                    </a:stretch>
                  </pic:blipFill>
                  <pic:spPr>
                    <a:xfrm>
                      <a:off x="0" y="0"/>
                      <a:ext cx="2566670" cy="1925955"/>
                    </a:xfrm>
                    <a:prstGeom prst="rect">
                      <a:avLst/>
                    </a:prstGeom>
                  </pic:spPr>
                </pic:pic>
              </a:graphicData>
            </a:graphic>
          </wp:inline>
        </w:drawing>
      </w:r>
      <w:r>
        <w:rPr>
          <w:rFonts w:hint="default" w:ascii="宋体" w:hAnsi="宋体" w:eastAsia="宋体" w:cs="宋体"/>
          <w:lang w:val="en-US" w:eastAsia="zh-CN"/>
        </w:rPr>
        <w:drawing>
          <wp:inline distT="0" distB="0" distL="114300" distR="114300">
            <wp:extent cx="2632710" cy="1935480"/>
            <wp:effectExtent l="0" t="0" r="3810" b="0"/>
            <wp:docPr id="5" name="图片 5" desc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E"/>
                    <pic:cNvPicPr>
                      <a:picLocks noChangeAspect="1"/>
                    </pic:cNvPicPr>
                  </pic:nvPicPr>
                  <pic:blipFill>
                    <a:blip r:embed="rId8"/>
                    <a:stretch>
                      <a:fillRect/>
                    </a:stretch>
                  </pic:blipFill>
                  <pic:spPr>
                    <a:xfrm>
                      <a:off x="0" y="0"/>
                      <a:ext cx="2632710" cy="1935480"/>
                    </a:xfrm>
                    <a:prstGeom prst="rect">
                      <a:avLst/>
                    </a:prstGeom>
                  </pic:spPr>
                </pic:pic>
              </a:graphicData>
            </a:graphic>
          </wp:inline>
        </w:drawing>
      </w:r>
    </w:p>
    <w:p>
      <w:pPr>
        <w:rPr>
          <w:rFonts w:hint="default" w:ascii="宋体" w:hAnsi="宋体" w:eastAsia="宋体" w:cs="宋体"/>
          <w:lang w:val="en-US" w:eastAsia="zh-CN"/>
        </w:rPr>
      </w:pPr>
      <w:r>
        <w:rPr>
          <w:rFonts w:hint="default" w:ascii="宋体" w:hAnsi="宋体" w:eastAsia="宋体" w:cs="宋体"/>
          <w:lang w:val="en-US" w:eastAsia="zh-CN"/>
        </w:rPr>
        <w:drawing>
          <wp:inline distT="0" distB="0" distL="114300" distR="114300">
            <wp:extent cx="2863850" cy="1913890"/>
            <wp:effectExtent l="0" t="0" r="1270" b="6350"/>
            <wp:docPr id="6" name="图片 6" desc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A"/>
                    <pic:cNvPicPr>
                      <a:picLocks noChangeAspect="1"/>
                    </pic:cNvPicPr>
                  </pic:nvPicPr>
                  <pic:blipFill>
                    <a:blip r:embed="rId9"/>
                    <a:stretch>
                      <a:fillRect/>
                    </a:stretch>
                  </pic:blipFill>
                  <pic:spPr>
                    <a:xfrm>
                      <a:off x="0" y="0"/>
                      <a:ext cx="2863850" cy="1913890"/>
                    </a:xfrm>
                    <a:prstGeom prst="rect">
                      <a:avLst/>
                    </a:prstGeom>
                  </pic:spPr>
                </pic:pic>
              </a:graphicData>
            </a:graphic>
          </wp:inline>
        </w:drawing>
      </w:r>
    </w:p>
    <w:p>
      <w:pPr>
        <w:rPr>
          <w:rFonts w:hint="default" w:ascii="宋体" w:hAnsi="宋体" w:eastAsia="宋体" w:cs="宋体"/>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（插图）</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除了上面的工作，我们还找到了2013年，2017年这4个国家的高等教育中国际留学生所占比例。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l2br w:val="single" w:color="auto" w:sz="4" w:space="0"/>
            </w:tcBorders>
            <w:vAlign w:val="center"/>
          </w:tcPr>
          <w:p>
            <w:pPr>
              <w:widowControl w:val="0"/>
              <w:jc w:val="center"/>
              <w:rPr>
                <w:rFonts w:hint="default" w:ascii="宋体" w:hAnsi="宋体" w:eastAsia="宋体" w:cs="宋体"/>
                <w:vertAlign w:val="baseline"/>
                <w:lang w:val="en-US" w:eastAsia="zh-CN"/>
              </w:rPr>
            </w:pPr>
          </w:p>
        </w:tc>
        <w:tc>
          <w:tcPr>
            <w:tcW w:w="2130" w:type="dxa"/>
            <w:vAlign w:val="center"/>
          </w:tcPr>
          <w:p>
            <w:pPr>
              <w:widowControl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2013</w:t>
            </w:r>
          </w:p>
        </w:tc>
        <w:tc>
          <w:tcPr>
            <w:tcW w:w="2131" w:type="dxa"/>
            <w:vAlign w:val="center"/>
          </w:tcPr>
          <w:p>
            <w:pPr>
              <w:widowControl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United Kingdom</w:t>
            </w:r>
          </w:p>
        </w:tc>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18.98</w:t>
            </w:r>
          </w:p>
        </w:tc>
        <w:tc>
          <w:tcPr>
            <w:tcW w:w="2131"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21.14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United States</w:t>
            </w:r>
          </w:p>
        </w:tc>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3.86</w:t>
            </w:r>
          </w:p>
        </w:tc>
        <w:tc>
          <w:tcPr>
            <w:tcW w:w="2131"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5.345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Australia</w:t>
            </w:r>
          </w:p>
        </w:tc>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20.86</w:t>
            </w:r>
          </w:p>
        </w:tc>
        <w:tc>
          <w:tcPr>
            <w:tcW w:w="2131"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23.79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Mexico</w:t>
            </w:r>
          </w:p>
        </w:tc>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0.20</w:t>
            </w:r>
          </w:p>
        </w:tc>
        <w:tc>
          <w:tcPr>
            <w:tcW w:w="2131"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0.46</w:t>
            </w:r>
          </w:p>
        </w:tc>
      </w:tr>
    </w:tbl>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从这4个国家的国际留学生比例中，墨西哥的留学生比例是最低的，他与比自己排名稍高的美国再2013年相差20倍，再2017年相差10陪左右，但是鉴于美国的高等学校人数本身很大，而且美国也是在2013年至2019年这7年中是最多的国际留学生选择去往的国家[2]，所以墨西哥的高等学校在世界范围内认可度不高，其高等学校与世界的接轨与其他三个学校相比远远不够。</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综合以上六个因素，我们给出以下建议：</w:t>
      </w:r>
    </w:p>
    <w:p>
      <w:pPr>
        <w:numPr>
          <w:ilvl w:val="0"/>
          <w:numId w:val="4"/>
        </w:numPr>
        <w:ind w:firstLine="420" w:firstLineChars="0"/>
        <w:rPr>
          <w:rFonts w:hint="default" w:ascii="宋体" w:hAnsi="宋体" w:eastAsia="宋体" w:cs="宋体"/>
          <w:lang w:val="en-US" w:eastAsia="zh-CN"/>
        </w:rPr>
      </w:pPr>
      <w:r>
        <w:rPr>
          <w:rFonts w:hint="eastAsia" w:ascii="宋体" w:hAnsi="宋体" w:eastAsia="宋体" w:cs="宋体"/>
          <w:lang w:val="en-US" w:eastAsia="zh-CN"/>
        </w:rPr>
        <w:t>提高升学率。这是增加高等教育人才、提升高等教育可持续性最基本的也是相当重要的一点。具体的措施和政策可以有：</w:t>
      </w:r>
    </w:p>
    <w:p>
      <w:pPr>
        <w:numPr>
          <w:ilvl w:val="1"/>
          <w:numId w:val="4"/>
        </w:numPr>
        <w:ind w:left="0" w:leftChars="0" w:firstLine="0" w:firstLineChars="0"/>
        <w:rPr>
          <w:rFonts w:hint="default" w:ascii="宋体" w:hAnsi="宋体" w:eastAsia="宋体" w:cs="宋体"/>
          <w:lang w:val="en-US" w:eastAsia="zh-CN"/>
        </w:rPr>
      </w:pPr>
      <w:r>
        <w:rPr>
          <w:rFonts w:hint="eastAsia" w:ascii="宋体" w:hAnsi="宋体" w:eastAsia="宋体" w:cs="宋体"/>
          <w:lang w:val="en-US" w:eastAsia="zh-CN"/>
        </w:rPr>
        <w:t>增加国内的大学数量，提供更多的升学机会；</w:t>
      </w:r>
    </w:p>
    <w:p>
      <w:pPr>
        <w:numPr>
          <w:ilvl w:val="1"/>
          <w:numId w:val="4"/>
        </w:numPr>
        <w:ind w:firstLine="420" w:firstLineChars="0"/>
        <w:rPr>
          <w:rFonts w:hint="default" w:ascii="宋体" w:hAnsi="宋体" w:eastAsia="宋体" w:cs="宋体"/>
          <w:lang w:val="en-US" w:eastAsia="zh-CN"/>
        </w:rPr>
      </w:pPr>
      <w:r>
        <w:rPr>
          <w:rFonts w:hint="eastAsia" w:ascii="宋体" w:hAnsi="宋体" w:eastAsia="宋体" w:cs="宋体"/>
          <w:lang w:val="en-US" w:eastAsia="zh-CN"/>
        </w:rPr>
        <w:t>放宽大学入学考试的相关限制，如年龄等，或者增加成人大学等更多的可能性；</w:t>
      </w:r>
    </w:p>
    <w:p>
      <w:pPr>
        <w:numPr>
          <w:ilvl w:val="1"/>
          <w:numId w:val="4"/>
        </w:numPr>
        <w:ind w:firstLine="420" w:firstLineChars="0"/>
        <w:rPr>
          <w:rFonts w:hint="default" w:ascii="宋体" w:hAnsi="宋体" w:eastAsia="宋体" w:cs="宋体"/>
          <w:lang w:val="en-US" w:eastAsia="zh-CN"/>
        </w:rPr>
      </w:pPr>
      <w:r>
        <w:rPr>
          <w:rFonts w:hint="eastAsia" w:ascii="宋体" w:hAnsi="宋体" w:eastAsia="宋体" w:cs="宋体"/>
          <w:lang w:val="en-US" w:eastAsia="zh-CN"/>
        </w:rPr>
        <w:t>有必要对中学教育甚至更基础的教育进行改革；</w:t>
      </w:r>
    </w:p>
    <w:p>
      <w:pPr>
        <w:numPr>
          <w:ilvl w:val="0"/>
          <w:numId w:val="0"/>
        </w:numPr>
        <w:ind w:left="420" w:leftChars="0"/>
        <w:rPr>
          <w:rFonts w:hint="default" w:ascii="宋体" w:hAnsi="宋体" w:eastAsia="宋体" w:cs="宋体"/>
          <w:lang w:val="en-US" w:eastAsia="zh-CN"/>
        </w:rPr>
      </w:pPr>
    </w:p>
    <w:p>
      <w:pPr>
        <w:numPr>
          <w:ilvl w:val="0"/>
          <w:numId w:val="4"/>
        </w:numPr>
        <w:ind w:left="0" w:leftChars="0" w:firstLine="420" w:firstLineChars="0"/>
        <w:rPr>
          <w:rFonts w:hint="default" w:ascii="宋体" w:hAnsi="宋体" w:eastAsia="宋体" w:cs="宋体"/>
          <w:lang w:val="en-US" w:eastAsia="zh-CN"/>
        </w:rPr>
      </w:pPr>
      <w:r>
        <w:rPr>
          <w:rFonts w:hint="eastAsia" w:ascii="宋体" w:hAnsi="宋体" w:eastAsia="宋体" w:cs="宋体"/>
          <w:lang w:val="en-US" w:eastAsia="zh-CN"/>
        </w:rPr>
        <w:t>对大学教育进行改革。建议包括：</w:t>
      </w:r>
    </w:p>
    <w:p>
      <w:pPr>
        <w:numPr>
          <w:ilvl w:val="1"/>
          <w:numId w:val="4"/>
        </w:numPr>
        <w:ind w:left="0" w:leftChars="0" w:firstLine="0" w:firstLineChars="0"/>
        <w:rPr>
          <w:rFonts w:hint="default" w:ascii="宋体" w:hAnsi="宋体" w:eastAsia="宋体" w:cs="宋体"/>
          <w:lang w:val="en-US" w:eastAsia="zh-CN"/>
        </w:rPr>
      </w:pPr>
      <w:r>
        <w:rPr>
          <w:rFonts w:hint="eastAsia" w:ascii="宋体" w:hAnsi="宋体" w:eastAsia="宋体" w:cs="宋体"/>
          <w:lang w:val="en-US" w:eastAsia="zh-CN"/>
        </w:rPr>
        <w:t>建立激励制度，如设立奖金等来大力支持科学技术相关的研究，奖励科学技术相关文章的发表；</w:t>
      </w:r>
    </w:p>
    <w:p>
      <w:pPr>
        <w:numPr>
          <w:ilvl w:val="1"/>
          <w:numId w:val="4"/>
        </w:numPr>
        <w:ind w:left="0" w:leftChars="0" w:firstLine="0" w:firstLineChars="0"/>
        <w:rPr>
          <w:rFonts w:hint="default" w:ascii="宋体" w:hAnsi="宋体" w:eastAsia="宋体" w:cs="宋体"/>
          <w:lang w:val="en-US" w:eastAsia="zh-CN"/>
        </w:rPr>
      </w:pPr>
      <w:r>
        <w:rPr>
          <w:rFonts w:hint="eastAsia" w:ascii="宋体" w:hAnsi="宋体" w:eastAsia="宋体" w:cs="宋体"/>
          <w:lang w:val="en-US" w:eastAsia="zh-CN"/>
        </w:rPr>
        <w:t>放宽毕业条件？？（放屁）</w:t>
      </w:r>
    </w:p>
    <w:p>
      <w:pPr>
        <w:numPr>
          <w:ilvl w:val="1"/>
          <w:numId w:val="4"/>
        </w:numPr>
        <w:ind w:left="0" w:leftChars="0" w:firstLine="0" w:firstLineChars="0"/>
        <w:rPr>
          <w:rFonts w:hint="default" w:ascii="宋体" w:hAnsi="宋体" w:eastAsia="宋体" w:cs="宋体"/>
          <w:lang w:val="en-US" w:eastAsia="zh-CN"/>
        </w:rPr>
      </w:pPr>
      <w:r>
        <w:rPr>
          <w:rFonts w:hint="eastAsia" w:ascii="宋体" w:hAnsi="宋体" w:eastAsia="宋体" w:cs="宋体"/>
          <w:lang w:val="en-US" w:eastAsia="zh-CN"/>
        </w:rPr>
        <w:t>放宽留学生招收标准，以吸引更多国际学生；</w:t>
      </w:r>
    </w:p>
    <w:p>
      <w:pPr>
        <w:numPr>
          <w:ilvl w:val="0"/>
          <w:numId w:val="0"/>
        </w:numPr>
        <w:ind w:leftChars="0"/>
        <w:rPr>
          <w:rFonts w:hint="default" w:ascii="宋体" w:hAnsi="宋体" w:eastAsia="宋体" w:cs="宋体"/>
          <w:lang w:val="en-US" w:eastAsia="zh-CN"/>
        </w:rPr>
      </w:pPr>
    </w:p>
    <w:p>
      <w:pPr>
        <w:numPr>
          <w:ilvl w:val="0"/>
          <w:numId w:val="4"/>
        </w:numPr>
        <w:ind w:left="0" w:leftChars="0" w:firstLine="420" w:firstLineChars="0"/>
        <w:rPr>
          <w:rFonts w:hint="default" w:ascii="宋体" w:hAnsi="宋体" w:eastAsia="宋体" w:cs="宋体"/>
          <w:lang w:val="en-US" w:eastAsia="zh-CN"/>
        </w:rPr>
      </w:pPr>
      <w:r>
        <w:rPr>
          <w:rFonts w:hint="eastAsia" w:ascii="宋体" w:hAnsi="宋体" w:eastAsia="宋体" w:cs="宋体"/>
          <w:lang w:val="en-US" w:eastAsia="zh-CN"/>
        </w:rPr>
        <w:t>加大高等教育的政府投入或者至少保持当前水平，因为从预测情况来看，未来几年内墨西哥高等教育中GE指标的值呈现下降趋势，这显然是不合理的，足够的教育投入才是达到预期产出的必要保障。</w:t>
      </w:r>
    </w:p>
    <w:p>
      <w:pPr>
        <w:numPr>
          <w:ilvl w:val="0"/>
          <w:numId w:val="0"/>
        </w:numPr>
        <w:spacing w:after="160" w:line="259" w:lineRule="auto"/>
        <w:rPr>
          <w:rFonts w:hint="default" w:ascii="宋体" w:hAnsi="宋体" w:eastAsia="宋体" w:cs="宋体"/>
          <w:lang w:val="en-US" w:eastAsia="zh-CN"/>
        </w:rPr>
      </w:pPr>
    </w:p>
    <w:p>
      <w:pPr>
        <w:pStyle w:val="3"/>
        <w:numPr>
          <w:ilvl w:val="1"/>
          <w:numId w:val="1"/>
        </w:numPr>
        <w:rPr>
          <w:rFonts w:hint="eastAsia" w:ascii="宋体" w:hAnsi="宋体" w:eastAsia="宋体" w:cs="宋体"/>
        </w:rPr>
      </w:pPr>
      <w:bookmarkStart w:id="14" w:name="_Toc63606984"/>
      <w:r>
        <w:rPr>
          <w:rFonts w:hint="eastAsia" w:ascii="宋体" w:hAnsi="宋体" w:eastAsia="宋体" w:cs="宋体"/>
        </w:rPr>
        <w:t>理论分析</w:t>
      </w:r>
      <w:bookmarkEnd w:id="14"/>
    </w:p>
    <w:p>
      <w:pPr>
        <w:rPr>
          <w:rFonts w:hint="eastAsia" w:ascii="宋体" w:hAnsi="宋体" w:eastAsia="宋体" w:cs="宋体"/>
          <w:lang w:val="en-US" w:eastAsia="zh-CN"/>
        </w:rPr>
      </w:pPr>
      <w:r>
        <w:rPr>
          <w:rFonts w:hint="eastAsia" w:ascii="宋体" w:hAnsi="宋体" w:eastAsia="宋体" w:cs="宋体"/>
          <w:lang w:val="en-US" w:eastAsia="zh-CN"/>
        </w:rPr>
        <w:t>在以上政策和建议的基础上，结合之前对未来变化情况的预测，我们希望各项指标的值到2025年时能够比预测值有更加合理的变化，即到2025年时，我们大致期望的各项指</w:t>
      </w:r>
      <w:bookmarkStart w:id="21" w:name="_GoBack"/>
      <w:bookmarkEnd w:id="21"/>
      <w:r>
        <w:rPr>
          <w:rFonts w:hint="eastAsia" w:ascii="宋体" w:hAnsi="宋体" w:eastAsia="宋体" w:cs="宋体"/>
          <w:lang w:val="en-US" w:eastAsia="zh-CN"/>
        </w:rPr>
        <w:t>标分别达到：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ER</w:t>
            </w:r>
          </w:p>
        </w:tc>
        <w:tc>
          <w:tcPr>
            <w:tcW w:w="1704" w:type="dxa"/>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GE</w:t>
            </w:r>
          </w:p>
        </w:tc>
        <w:tc>
          <w:tcPr>
            <w:tcW w:w="1704" w:type="dxa"/>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EA</w:t>
            </w:r>
          </w:p>
        </w:tc>
        <w:tc>
          <w:tcPr>
            <w:tcW w:w="1705" w:type="dxa"/>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NA</w:t>
            </w:r>
          </w:p>
        </w:tc>
        <w:tc>
          <w:tcPr>
            <w:tcW w:w="1705" w:type="dxa"/>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70%</w:t>
            </w:r>
          </w:p>
        </w:tc>
        <w:tc>
          <w:tcPr>
            <w:tcW w:w="1704" w:type="dxa"/>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35%</w:t>
            </w:r>
          </w:p>
        </w:tc>
        <w:tc>
          <w:tcPr>
            <w:tcW w:w="1704" w:type="dxa"/>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25%</w:t>
            </w:r>
          </w:p>
        </w:tc>
        <w:tc>
          <w:tcPr>
            <w:tcW w:w="1705" w:type="dxa"/>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50000</w:t>
            </w:r>
          </w:p>
        </w:tc>
        <w:tc>
          <w:tcPr>
            <w:tcW w:w="1705" w:type="dxa"/>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50%</w:t>
            </w:r>
          </w:p>
        </w:tc>
      </w:tr>
    </w:tbl>
    <w:p>
      <w:pPr>
        <w:rPr>
          <w:rFonts w:hint="eastAsia" w:ascii="宋体" w:hAnsi="宋体" w:eastAsia="宋体" w:cs="宋体"/>
          <w:lang w:val="en-US" w:eastAsia="zh-CN"/>
        </w:rPr>
      </w:pPr>
      <w:r>
        <w:rPr>
          <w:rFonts w:hint="eastAsia" w:ascii="宋体" w:hAnsi="宋体" w:eastAsia="宋体" w:cs="宋体"/>
          <w:lang w:val="en-US" w:eastAsia="zh-CN"/>
        </w:rPr>
        <w:t>对以上数据再次利用已经建立的模型进行评分，结果如下：</w:t>
      </w:r>
    </w:p>
    <w:p>
      <w:pPr>
        <w:rPr>
          <w:rFonts w:hint="eastAsia" w:ascii="宋体" w:hAnsi="宋体" w:eastAsia="宋体" w:cs="宋体"/>
          <w:lang w:val="en-US" w:eastAsia="zh-CN"/>
        </w:rPr>
      </w:pPr>
      <w:r>
        <w:rPr>
          <w:rFonts w:hint="eastAsia" w:ascii="宋体" w:hAnsi="宋体" w:eastAsia="宋体" w:cs="宋体"/>
          <w:lang w:val="en-US" w:eastAsia="zh-CN"/>
        </w:rPr>
        <w:t>（评分）</w:t>
      </w:r>
    </w:p>
    <w:p>
      <w:pPr>
        <w:rPr>
          <w:rFonts w:hint="eastAsia" w:ascii="宋体" w:hAnsi="宋体" w:eastAsia="宋体" w:cs="宋体"/>
          <w:lang w:val="en-US" w:eastAsia="zh-CN"/>
        </w:rPr>
      </w:pPr>
      <w:r>
        <w:rPr>
          <w:rFonts w:hint="eastAsia" w:ascii="宋体" w:hAnsi="宋体" w:eastAsia="宋体" w:cs="宋体"/>
          <w:lang w:val="en-US" w:eastAsia="zh-CN"/>
        </w:rPr>
        <w:t>将2018年的数据和2025年的数据进行对比，可以很直观地看到变化情况：</w:t>
      </w:r>
    </w:p>
    <w:p>
      <w:pPr>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3470910" cy="2604135"/>
            <wp:effectExtent l="0" t="0" r="3810" b="1905"/>
            <wp:docPr id="7" name="图片 7" descr="Mexico, 18vs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Mexico, 18vs25"/>
                    <pic:cNvPicPr>
                      <a:picLocks noChangeAspect="1"/>
                    </pic:cNvPicPr>
                  </pic:nvPicPr>
                  <pic:blipFill>
                    <a:blip r:embed="rId10"/>
                    <a:stretch>
                      <a:fillRect/>
                    </a:stretch>
                  </pic:blipFill>
                  <pic:spPr>
                    <a:xfrm>
                      <a:off x="0" y="0"/>
                      <a:ext cx="3470910" cy="2604135"/>
                    </a:xfrm>
                    <a:prstGeom prst="rect">
                      <a:avLst/>
                    </a:prstGeom>
                  </pic:spPr>
                </pic:pic>
              </a:graphicData>
            </a:graphic>
          </wp:inline>
        </w:drawing>
      </w:r>
    </w:p>
    <w:p>
      <w:pPr>
        <w:rPr>
          <w:rFonts w:hint="default" w:ascii="宋体" w:hAnsi="宋体" w:eastAsia="宋体" w:cs="宋体"/>
          <w:lang w:val="en-US" w:eastAsia="zh-CN"/>
        </w:rPr>
      </w:pPr>
      <w:r>
        <w:rPr>
          <w:rFonts w:hint="eastAsia" w:ascii="宋体" w:hAnsi="宋体" w:eastAsia="宋体" w:cs="宋体"/>
          <w:lang w:val="en-US" w:eastAsia="zh-CN"/>
        </w:rPr>
        <w:t>可以看到，在以上政策的支持下，到2025年时墨西哥的高等教育健康程度已经得到了相当可观的改善………………</w:t>
      </w:r>
    </w:p>
    <w:p>
      <w:pPr>
        <w:rPr>
          <w:rFonts w:hint="eastAsia" w:ascii="宋体" w:hAnsi="宋体" w:eastAsia="宋体" w:cs="宋体"/>
        </w:rPr>
      </w:pPr>
    </w:p>
    <w:p>
      <w:pPr>
        <w:pStyle w:val="2"/>
        <w:numPr>
          <w:ilvl w:val="0"/>
          <w:numId w:val="1"/>
        </w:numPr>
        <w:rPr>
          <w:rFonts w:hint="eastAsia" w:ascii="宋体" w:hAnsi="宋体" w:eastAsia="宋体" w:cs="宋体"/>
          <w:shd w:val="clear" w:color="auto" w:fill="FFFFFF"/>
        </w:rPr>
      </w:pPr>
      <w:bookmarkStart w:id="15" w:name="_Toc63606985"/>
      <w:r>
        <w:rPr>
          <w:rFonts w:hint="eastAsia" w:ascii="宋体" w:hAnsi="宋体" w:eastAsia="宋体" w:cs="宋体"/>
          <w:shd w:val="clear" w:color="auto" w:fill="FFFFFF"/>
        </w:rPr>
        <w:t>结论</w:t>
      </w:r>
      <w:bookmarkEnd w:id="15"/>
    </w:p>
    <w:p>
      <w:pPr>
        <w:pStyle w:val="3"/>
        <w:numPr>
          <w:ilvl w:val="1"/>
          <w:numId w:val="1"/>
        </w:numPr>
        <w:rPr>
          <w:rFonts w:hint="eastAsia" w:ascii="宋体" w:hAnsi="宋体" w:eastAsia="宋体" w:cs="宋体"/>
        </w:rPr>
      </w:pPr>
      <w:bookmarkStart w:id="16" w:name="_Toc63606986"/>
      <w:r>
        <w:rPr>
          <w:rFonts w:hint="eastAsia" w:ascii="宋体" w:hAnsi="宋体" w:eastAsia="宋体" w:cs="宋体"/>
        </w:rPr>
        <w:t>优点和缺点</w:t>
      </w:r>
      <w:bookmarkEnd w:id="16"/>
    </w:p>
    <w:p>
      <w:pPr>
        <w:pStyle w:val="4"/>
        <w:numPr>
          <w:ilvl w:val="2"/>
          <w:numId w:val="1"/>
        </w:numPr>
        <w:ind w:left="720" w:leftChars="0" w:hanging="720" w:firstLineChars="0"/>
        <w:rPr>
          <w:rFonts w:hint="eastAsia" w:ascii="宋体" w:hAnsi="宋体" w:eastAsia="宋体" w:cs="宋体"/>
        </w:rPr>
      </w:pPr>
      <w:bookmarkStart w:id="17" w:name="_Toc63606987"/>
      <w:r>
        <w:rPr>
          <w:rFonts w:hint="eastAsia" w:ascii="宋体" w:hAnsi="宋体" w:eastAsia="宋体" w:cs="宋体"/>
        </w:rPr>
        <w:t>优点</w:t>
      </w:r>
      <w:bookmarkEnd w:id="17"/>
    </w:p>
    <w:p>
      <w:pPr>
        <w:pStyle w:val="4"/>
        <w:ind w:firstLine="420" w:firstLineChars="0"/>
        <w:rPr>
          <w:rFonts w:hint="eastAsia" w:ascii="宋体" w:hAnsi="宋体" w:eastAsia="宋体" w:cs="宋体"/>
          <w:color w:val="auto"/>
          <w:sz w:val="22"/>
          <w:szCs w:val="22"/>
          <w:lang w:val="en-US" w:eastAsia="zh-CN"/>
        </w:rPr>
      </w:pPr>
      <w:bookmarkStart w:id="18" w:name="_Toc63606988"/>
      <w:r>
        <w:rPr>
          <w:rFonts w:hint="eastAsia" w:ascii="宋体" w:hAnsi="宋体" w:eastAsia="宋体" w:cs="宋体"/>
          <w:color w:val="auto"/>
          <w:sz w:val="22"/>
          <w:szCs w:val="22"/>
          <w:lang w:val="en-US" w:eastAsia="zh-CN"/>
        </w:rPr>
        <w:t>我们对比了四个国家的高等教育系统，分别是欧洲的英国，大洋洲的澳大利亚，以及位于北美洲的美国和墨西哥。通过建立topsis模型分析对比他们的高等教育入学率、高等教育学生人均政府支出（占人均GDP）、受高等教育人数占总人数的（25岁以上的）比例、每个国家近年来的发表的科学与技术文章、高等教育毕业率。这个模型xxxxx</w:t>
      </w:r>
    </w:p>
    <w:p>
      <w:pPr>
        <w:pStyle w:val="4"/>
        <w:rPr>
          <w:rFonts w:hint="eastAsia" w:ascii="宋体" w:hAnsi="宋体" w:eastAsia="宋体" w:cs="宋体"/>
        </w:rPr>
      </w:pPr>
      <w:r>
        <w:rPr>
          <w:rFonts w:hint="eastAsia" w:ascii="宋体" w:hAnsi="宋体" w:eastAsia="宋体" w:cs="宋体"/>
        </w:rPr>
        <w:t>5.1.2 缺点</w:t>
      </w:r>
      <w:bookmarkEnd w:id="18"/>
    </w:p>
    <w:p>
      <w:pPr>
        <w:ind w:firstLine="42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模型本身存在的问题</w:t>
      </w:r>
    </w:p>
    <w:p>
      <w:pPr>
        <w:pStyle w:val="3"/>
        <w:numPr>
          <w:ilvl w:val="1"/>
          <w:numId w:val="1"/>
        </w:numPr>
        <w:rPr>
          <w:rFonts w:hint="eastAsia" w:ascii="宋体" w:hAnsi="宋体" w:eastAsia="宋体" w:cs="宋体"/>
        </w:rPr>
      </w:pPr>
      <w:bookmarkStart w:id="19" w:name="_Toc63606989"/>
      <w:r>
        <w:rPr>
          <w:rFonts w:hint="eastAsia" w:ascii="宋体" w:hAnsi="宋体" w:eastAsia="宋体" w:cs="宋体"/>
        </w:rPr>
        <w:t>理论分析</w:t>
      </w:r>
      <w:bookmarkEnd w:id="19"/>
    </w:p>
    <w:p>
      <w:pPr>
        <w:rPr>
          <w:rFonts w:hint="eastAsia" w:ascii="宋体" w:hAnsi="宋体" w:eastAsia="宋体" w:cs="宋体"/>
        </w:rPr>
      </w:pPr>
    </w:p>
    <w:p>
      <w:pPr>
        <w:pStyle w:val="2"/>
        <w:ind w:left="360"/>
        <w:rPr>
          <w:rFonts w:hint="eastAsia" w:ascii="宋体" w:hAnsi="宋体" w:eastAsia="宋体" w:cs="宋体"/>
          <w:shd w:val="clear" w:color="auto" w:fill="FFFFFF"/>
        </w:rPr>
      </w:pPr>
      <w:bookmarkStart w:id="20" w:name="_Toc63606990"/>
      <w:r>
        <w:rPr>
          <w:rFonts w:hint="eastAsia" w:ascii="宋体" w:hAnsi="宋体" w:eastAsia="宋体" w:cs="宋体"/>
          <w:shd w:val="clear" w:color="auto" w:fill="FFFFFF"/>
        </w:rPr>
        <w:t>附录</w:t>
      </w:r>
      <w:bookmarkEnd w:id="20"/>
    </w:p>
    <w:p>
      <w:pPr>
        <w:rPr>
          <w:rFonts w:hint="eastAsia" w:ascii="宋体" w:hAnsi="宋体" w:eastAsia="宋体" w:cs="宋体"/>
          <w:shd w:val="clear" w:color="auto" w:fill="FFFFFF"/>
        </w:rPr>
      </w:pPr>
    </w:p>
    <w:p>
      <w:pPr>
        <w:rPr>
          <w:rFonts w:hint="eastAsia" w:ascii="宋体" w:hAnsi="宋体" w:eastAsia="宋体" w:cs="宋体"/>
          <w:color w:val="0000FF"/>
          <w:sz w:val="32"/>
          <w:szCs w:val="32"/>
          <w:shd w:val="clear" w:color="auto" w:fill="FFFFFF"/>
          <w:lang w:val="en-US" w:eastAsia="zh-CN"/>
        </w:rPr>
      </w:pPr>
      <w:r>
        <w:rPr>
          <w:rFonts w:hint="eastAsia" w:ascii="宋体" w:hAnsi="宋体" w:eastAsia="宋体" w:cs="宋体"/>
          <w:color w:val="0000FF"/>
          <w:sz w:val="32"/>
          <w:szCs w:val="32"/>
          <w:shd w:val="clear" w:color="auto" w:fill="FFFFFF"/>
          <w:lang w:val="en-US" w:eastAsia="zh-CN"/>
        </w:rPr>
        <w:t>参考</w:t>
      </w:r>
    </w:p>
    <w:p>
      <w:pPr>
        <w:numPr>
          <w:ilvl w:val="0"/>
          <w:numId w:val="5"/>
        </w:numPr>
        <w:rPr>
          <w:rFonts w:hint="eastAsia" w:ascii="宋体" w:hAnsi="宋体" w:eastAsia="宋体" w:cs="宋体"/>
          <w:color w:val="0000FF"/>
          <w:sz w:val="24"/>
          <w:szCs w:val="24"/>
          <w:shd w:val="clear" w:color="auto" w:fill="FFFFFF"/>
          <w:lang w:val="en-US" w:eastAsia="zh-CN"/>
        </w:rPr>
      </w:pPr>
      <w:r>
        <w:rPr>
          <w:rFonts w:hint="eastAsia" w:ascii="宋体" w:hAnsi="宋体" w:eastAsia="宋体" w:cs="宋体"/>
          <w:color w:val="0000FF"/>
          <w:sz w:val="24"/>
          <w:szCs w:val="24"/>
          <w:shd w:val="clear" w:color="auto" w:fill="FFFFFF"/>
          <w:lang w:val="en-US" w:eastAsia="zh-CN"/>
        </w:rPr>
        <w:t>(毛入学率)（https://en.wikipedia.org/wiki/Gross_enrolment_ratio）</w:t>
      </w:r>
    </w:p>
    <w:p>
      <w:pPr>
        <w:numPr>
          <w:ilvl w:val="0"/>
          <w:numId w:val="5"/>
        </w:numPr>
        <w:rPr>
          <w:rFonts w:hint="eastAsia" w:ascii="宋体" w:hAnsi="宋体" w:eastAsia="宋体" w:cs="宋体"/>
          <w:color w:val="0000FF"/>
          <w:sz w:val="24"/>
          <w:szCs w:val="24"/>
          <w:shd w:val="clear" w:color="auto" w:fill="FFFFFF"/>
          <w:lang w:val="en-US" w:eastAsia="zh-CN"/>
        </w:rPr>
      </w:pPr>
      <w:r>
        <w:rPr>
          <w:rFonts w:hint="eastAsia" w:ascii="宋体" w:hAnsi="宋体" w:eastAsia="宋体" w:cs="宋体"/>
          <w:color w:val="0000FF"/>
          <w:sz w:val="24"/>
          <w:szCs w:val="24"/>
          <w:shd w:val="clear" w:color="auto" w:fill="FFFFFF"/>
          <w:lang w:val="en-US" w:eastAsia="zh-CN"/>
        </w:rPr>
        <w:t>(国际留学生比例)（https://www.iie.org/Research-and-Insights/Project-Atlas/Explore-Data/）</w:t>
      </w:r>
    </w:p>
    <w:p>
      <w:pPr>
        <w:rPr>
          <w:rFonts w:hint="eastAsia" w:ascii="宋体" w:hAnsi="宋体" w:eastAsia="宋体" w:cs="宋体"/>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9D8C10"/>
    <w:multiLevelType w:val="singleLevel"/>
    <w:tmpl w:val="BA9D8C10"/>
    <w:lvl w:ilvl="0" w:tentative="0">
      <w:start w:val="1"/>
      <w:numFmt w:val="decimal"/>
      <w:suff w:val="space"/>
      <w:lvlText w:val="%1."/>
      <w:lvlJc w:val="left"/>
    </w:lvl>
  </w:abstractNum>
  <w:abstractNum w:abstractNumId="1">
    <w:nsid w:val="01677143"/>
    <w:multiLevelType w:val="multilevel"/>
    <w:tmpl w:val="01677143"/>
    <w:lvl w:ilvl="0" w:tentative="0">
      <w:start w:val="1"/>
      <w:numFmt w:val="decimal"/>
      <w:lvlText w:val="%1."/>
      <w:lvlJc w:val="left"/>
      <w:pPr>
        <w:ind w:left="360" w:hanging="360"/>
      </w:pPr>
      <w:rPr>
        <w:rFonts w:hint="default"/>
      </w:rPr>
    </w:lvl>
    <w:lvl w:ilvl="1" w:tentative="0">
      <w:start w:val="1"/>
      <w:numFmt w:val="decimal"/>
      <w:isLgl/>
      <w:lvlText w:val="%1.%2"/>
      <w:lvlJc w:val="left"/>
      <w:pPr>
        <w:ind w:left="495" w:hanging="49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2">
    <w:nsid w:val="40B36E0B"/>
    <w:multiLevelType w:val="singleLevel"/>
    <w:tmpl w:val="40B36E0B"/>
    <w:lvl w:ilvl="0" w:tentative="0">
      <w:start w:val="1"/>
      <w:numFmt w:val="decimal"/>
      <w:lvlText w:val="[%1]"/>
      <w:lvlJc w:val="left"/>
      <w:pPr>
        <w:tabs>
          <w:tab w:val="left" w:pos="312"/>
        </w:tabs>
      </w:pPr>
    </w:lvl>
  </w:abstractNum>
  <w:abstractNum w:abstractNumId="3">
    <w:nsid w:val="6E614E5B"/>
    <w:multiLevelType w:val="multilevel"/>
    <w:tmpl w:val="6E614E5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7EEFB012"/>
    <w:multiLevelType w:val="singleLevel"/>
    <w:tmpl w:val="7EEFB012"/>
    <w:lvl w:ilvl="0" w:tentative="0">
      <w:start w:val="1"/>
      <w:numFmt w:val="decimal"/>
      <w:suff w:val="space"/>
      <w:lvlText w:val="%1."/>
      <w:lvlJc w:val="left"/>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EA2"/>
    <w:rsid w:val="00200EA2"/>
    <w:rsid w:val="0022688A"/>
    <w:rsid w:val="00261461"/>
    <w:rsid w:val="002A4A5A"/>
    <w:rsid w:val="00306FC3"/>
    <w:rsid w:val="00336ED4"/>
    <w:rsid w:val="00366A42"/>
    <w:rsid w:val="003A7FDC"/>
    <w:rsid w:val="004158DF"/>
    <w:rsid w:val="00495B6C"/>
    <w:rsid w:val="004B2CC8"/>
    <w:rsid w:val="00536450"/>
    <w:rsid w:val="00575F6D"/>
    <w:rsid w:val="00581ED9"/>
    <w:rsid w:val="005D196C"/>
    <w:rsid w:val="005D2804"/>
    <w:rsid w:val="005E1D9C"/>
    <w:rsid w:val="005F1766"/>
    <w:rsid w:val="006477DA"/>
    <w:rsid w:val="00653EA4"/>
    <w:rsid w:val="00667605"/>
    <w:rsid w:val="006916C9"/>
    <w:rsid w:val="006A5315"/>
    <w:rsid w:val="006B1DFB"/>
    <w:rsid w:val="00704DC8"/>
    <w:rsid w:val="00853664"/>
    <w:rsid w:val="008C26A9"/>
    <w:rsid w:val="008C307A"/>
    <w:rsid w:val="00906902"/>
    <w:rsid w:val="009F6364"/>
    <w:rsid w:val="00A32B49"/>
    <w:rsid w:val="00AB4E97"/>
    <w:rsid w:val="00B00BA3"/>
    <w:rsid w:val="00B03965"/>
    <w:rsid w:val="00BD753B"/>
    <w:rsid w:val="00C21917"/>
    <w:rsid w:val="00C909BB"/>
    <w:rsid w:val="00CE2222"/>
    <w:rsid w:val="00E15BA6"/>
    <w:rsid w:val="00F372A9"/>
    <w:rsid w:val="00F57B6E"/>
    <w:rsid w:val="00FF7430"/>
    <w:rsid w:val="06C954D4"/>
    <w:rsid w:val="075D134B"/>
    <w:rsid w:val="08B075F2"/>
    <w:rsid w:val="12C95496"/>
    <w:rsid w:val="14C969ED"/>
    <w:rsid w:val="15FC0C1F"/>
    <w:rsid w:val="16DB779C"/>
    <w:rsid w:val="18F47A2A"/>
    <w:rsid w:val="1A5833FC"/>
    <w:rsid w:val="1BFB6A0C"/>
    <w:rsid w:val="1CE90AF4"/>
    <w:rsid w:val="1F502EB6"/>
    <w:rsid w:val="22B8269D"/>
    <w:rsid w:val="271748C3"/>
    <w:rsid w:val="32107285"/>
    <w:rsid w:val="3813518D"/>
    <w:rsid w:val="3BE357AF"/>
    <w:rsid w:val="3EB3172E"/>
    <w:rsid w:val="41E46716"/>
    <w:rsid w:val="44475E70"/>
    <w:rsid w:val="450C30A5"/>
    <w:rsid w:val="46260C8C"/>
    <w:rsid w:val="492F6A1C"/>
    <w:rsid w:val="494B230D"/>
    <w:rsid w:val="4C20461C"/>
    <w:rsid w:val="4CEC23B5"/>
    <w:rsid w:val="4FF34E45"/>
    <w:rsid w:val="521611A2"/>
    <w:rsid w:val="54B97D9F"/>
    <w:rsid w:val="56566141"/>
    <w:rsid w:val="581155A6"/>
    <w:rsid w:val="596015E8"/>
    <w:rsid w:val="5D5B5EC6"/>
    <w:rsid w:val="5EC90073"/>
    <w:rsid w:val="6019562E"/>
    <w:rsid w:val="610F4754"/>
    <w:rsid w:val="639220AE"/>
    <w:rsid w:val="66B47055"/>
    <w:rsid w:val="6B4159CC"/>
    <w:rsid w:val="6FCA69A2"/>
    <w:rsid w:val="79B33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8"/>
      <w:szCs w:val="28"/>
    </w:rPr>
  </w:style>
  <w:style w:type="paragraph" w:styleId="4">
    <w:name w:val="heading 3"/>
    <w:basedOn w:val="1"/>
    <w:next w:val="1"/>
    <w:link w:val="27"/>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8"/>
    <w:semiHidden/>
    <w:unhideWhenUsed/>
    <w:qFormat/>
    <w:uiPriority w:val="9"/>
    <w:pPr>
      <w:keepNext/>
      <w:keepLines/>
      <w:spacing w:before="40" w:after="0"/>
      <w:outlineLvl w:val="3"/>
    </w:pPr>
    <w:rPr>
      <w:i/>
      <w:iCs/>
    </w:rPr>
  </w:style>
  <w:style w:type="paragraph" w:styleId="6">
    <w:name w:val="heading 5"/>
    <w:basedOn w:val="1"/>
    <w:next w:val="1"/>
    <w:link w:val="29"/>
    <w:semiHidden/>
    <w:unhideWhenUsed/>
    <w:qFormat/>
    <w:uiPriority w:val="9"/>
    <w:pPr>
      <w:keepNext/>
      <w:keepLines/>
      <w:spacing w:before="40" w:after="0"/>
      <w:outlineLvl w:val="4"/>
    </w:pPr>
    <w:rPr>
      <w:color w:val="2F5597" w:themeColor="accent1" w:themeShade="BF"/>
    </w:rPr>
  </w:style>
  <w:style w:type="paragraph" w:styleId="7">
    <w:name w:val="heading 6"/>
    <w:basedOn w:val="1"/>
    <w:next w:val="1"/>
    <w:link w:val="30"/>
    <w:semiHidden/>
    <w:unhideWhenUsed/>
    <w:qFormat/>
    <w:uiPriority w:val="9"/>
    <w:pPr>
      <w:keepNext/>
      <w:keepLines/>
      <w:spacing w:before="40" w:after="0"/>
      <w:outlineLvl w:val="5"/>
    </w:pPr>
    <w:rPr>
      <w:color w:val="203864" w:themeColor="accent1" w:themeShade="80"/>
    </w:rPr>
  </w:style>
  <w:style w:type="paragraph" w:styleId="8">
    <w:name w:val="heading 7"/>
    <w:basedOn w:val="1"/>
    <w:next w:val="1"/>
    <w:link w:val="31"/>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2"/>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3"/>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toc 3"/>
    <w:basedOn w:val="1"/>
    <w:next w:val="1"/>
    <w:unhideWhenUsed/>
    <w:uiPriority w:val="39"/>
    <w:pPr>
      <w:ind w:left="840" w:leftChars="400"/>
    </w:pPr>
  </w:style>
  <w:style w:type="paragraph" w:styleId="13">
    <w:name w:val="toc 1"/>
    <w:basedOn w:val="1"/>
    <w:next w:val="1"/>
    <w:unhideWhenUsed/>
    <w:qFormat/>
    <w:uiPriority w:val="39"/>
  </w:style>
  <w:style w:type="paragraph" w:styleId="14">
    <w:name w:val="Subtitle"/>
    <w:basedOn w:val="1"/>
    <w:next w:val="1"/>
    <w:link w:val="35"/>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toc 2"/>
    <w:basedOn w:val="1"/>
    <w:next w:val="1"/>
    <w:unhideWhenUsed/>
    <w:uiPriority w:val="39"/>
    <w:pPr>
      <w:ind w:left="420" w:leftChars="200"/>
    </w:pPr>
  </w:style>
  <w:style w:type="paragraph" w:styleId="16">
    <w:name w:val="Title"/>
    <w:basedOn w:val="1"/>
    <w:next w:val="1"/>
    <w:link w:val="34"/>
    <w:qFormat/>
    <w:uiPriority w:val="10"/>
    <w:pPr>
      <w:spacing w:after="0" w:line="240" w:lineRule="auto"/>
      <w:contextualSpacing/>
    </w:pPr>
    <w:rPr>
      <w:rFonts w:asciiTheme="majorHAnsi" w:hAnsiTheme="majorHAnsi" w:eastAsiaTheme="majorEastAsia" w:cstheme="majorBidi"/>
      <w:spacing w:val="-10"/>
      <w:sz w:val="56"/>
      <w:szCs w:val="56"/>
    </w:rPr>
  </w:style>
  <w:style w:type="table" w:styleId="18">
    <w:name w:val="Table Grid"/>
    <w:basedOn w:val="1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bCs/>
      <w:color w:val="auto"/>
    </w:rPr>
  </w:style>
  <w:style w:type="character" w:styleId="21">
    <w:name w:val="Emphasis"/>
    <w:basedOn w:val="19"/>
    <w:qFormat/>
    <w:uiPriority w:val="20"/>
    <w:rPr>
      <w:i/>
      <w:iCs/>
      <w:color w:val="auto"/>
    </w:rPr>
  </w:style>
  <w:style w:type="character" w:styleId="22">
    <w:name w:val="Hyperlink"/>
    <w:basedOn w:val="19"/>
    <w:unhideWhenUsed/>
    <w:uiPriority w:val="99"/>
    <w:rPr>
      <w:color w:val="0563C1" w:themeColor="hyperlink"/>
      <w:u w:val="single"/>
      <w14:textFill>
        <w14:solidFill>
          <w14:schemeClr w14:val="hlink"/>
        </w14:solidFill>
      </w14:textFill>
    </w:rPr>
  </w:style>
  <w:style w:type="paragraph" w:styleId="23">
    <w:name w:val="List Paragraph"/>
    <w:basedOn w:val="1"/>
    <w:qFormat/>
    <w:uiPriority w:val="34"/>
    <w:pPr>
      <w:ind w:firstLine="420" w:firstLineChars="200"/>
    </w:pPr>
  </w:style>
  <w:style w:type="character" w:customStyle="1" w:styleId="24">
    <w:name w:val="标题 1 字符"/>
    <w:basedOn w:val="19"/>
    <w:link w:val="2"/>
    <w:uiPriority w:val="9"/>
    <w:rPr>
      <w:rFonts w:asciiTheme="majorHAnsi" w:hAnsiTheme="majorHAnsi" w:eastAsiaTheme="majorEastAsia" w:cstheme="majorBidi"/>
      <w:color w:val="2F5597" w:themeColor="accent1" w:themeShade="BF"/>
      <w:sz w:val="32"/>
      <w:szCs w:val="32"/>
    </w:rPr>
  </w:style>
  <w:style w:type="paragraph" w:customStyle="1" w:styleId="25">
    <w:name w:val="TOC Heading"/>
    <w:basedOn w:val="2"/>
    <w:next w:val="1"/>
    <w:unhideWhenUsed/>
    <w:qFormat/>
    <w:uiPriority w:val="39"/>
    <w:pPr>
      <w:outlineLvl w:val="9"/>
    </w:pPr>
  </w:style>
  <w:style w:type="character" w:customStyle="1" w:styleId="26">
    <w:name w:val="标题 2 字符"/>
    <w:basedOn w:val="19"/>
    <w:link w:val="3"/>
    <w:qFormat/>
    <w:uiPriority w:val="9"/>
    <w:rPr>
      <w:rFonts w:asciiTheme="majorHAnsi" w:hAnsiTheme="majorHAnsi" w:eastAsiaTheme="majorEastAsia" w:cstheme="majorBidi"/>
      <w:color w:val="2F5597" w:themeColor="accent1" w:themeShade="BF"/>
      <w:sz w:val="28"/>
      <w:szCs w:val="28"/>
    </w:rPr>
  </w:style>
  <w:style w:type="character" w:customStyle="1" w:styleId="27">
    <w:name w:val="标题 3 字符"/>
    <w:basedOn w:val="19"/>
    <w:link w:val="4"/>
    <w:qFormat/>
    <w:uiPriority w:val="9"/>
    <w:rPr>
      <w:rFonts w:asciiTheme="majorHAnsi" w:hAnsiTheme="majorHAnsi" w:eastAsiaTheme="majorEastAsia" w:cstheme="majorBidi"/>
      <w:color w:val="203864" w:themeColor="accent1" w:themeShade="80"/>
      <w:sz w:val="24"/>
      <w:szCs w:val="24"/>
    </w:rPr>
  </w:style>
  <w:style w:type="character" w:customStyle="1" w:styleId="28">
    <w:name w:val="标题 4 字符"/>
    <w:basedOn w:val="19"/>
    <w:link w:val="5"/>
    <w:semiHidden/>
    <w:uiPriority w:val="9"/>
    <w:rPr>
      <w:i/>
      <w:iCs/>
    </w:rPr>
  </w:style>
  <w:style w:type="character" w:customStyle="1" w:styleId="29">
    <w:name w:val="标题 5 字符"/>
    <w:basedOn w:val="19"/>
    <w:link w:val="6"/>
    <w:semiHidden/>
    <w:uiPriority w:val="9"/>
    <w:rPr>
      <w:color w:val="2F5597" w:themeColor="accent1" w:themeShade="BF"/>
    </w:rPr>
  </w:style>
  <w:style w:type="character" w:customStyle="1" w:styleId="30">
    <w:name w:val="标题 6 字符"/>
    <w:basedOn w:val="19"/>
    <w:link w:val="7"/>
    <w:semiHidden/>
    <w:uiPriority w:val="9"/>
    <w:rPr>
      <w:color w:val="203864" w:themeColor="accent1" w:themeShade="80"/>
    </w:rPr>
  </w:style>
  <w:style w:type="character" w:customStyle="1" w:styleId="31">
    <w:name w:val="标题 7 字符"/>
    <w:basedOn w:val="19"/>
    <w:link w:val="8"/>
    <w:semiHidden/>
    <w:qFormat/>
    <w:uiPriority w:val="9"/>
    <w:rPr>
      <w:rFonts w:asciiTheme="majorHAnsi" w:hAnsiTheme="majorHAnsi" w:eastAsiaTheme="majorEastAsia" w:cstheme="majorBidi"/>
      <w:i/>
      <w:iCs/>
      <w:color w:val="203864" w:themeColor="accent1" w:themeShade="80"/>
    </w:rPr>
  </w:style>
  <w:style w:type="character" w:customStyle="1" w:styleId="32">
    <w:name w:val="标题 8 字符"/>
    <w:basedOn w:val="19"/>
    <w:link w:val="9"/>
    <w:semiHidden/>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33">
    <w:name w:val="标题 9 字符"/>
    <w:basedOn w:val="19"/>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4">
    <w:name w:val="标题 字符"/>
    <w:basedOn w:val="19"/>
    <w:link w:val="16"/>
    <w:uiPriority w:val="10"/>
    <w:rPr>
      <w:rFonts w:asciiTheme="majorHAnsi" w:hAnsiTheme="majorHAnsi" w:eastAsiaTheme="majorEastAsia" w:cstheme="majorBidi"/>
      <w:spacing w:val="-10"/>
      <w:sz w:val="56"/>
      <w:szCs w:val="56"/>
    </w:rPr>
  </w:style>
  <w:style w:type="character" w:customStyle="1" w:styleId="35">
    <w:name w:val="副标题 字符"/>
    <w:basedOn w:val="19"/>
    <w:link w:val="14"/>
    <w:uiPriority w:val="11"/>
    <w:rPr>
      <w:color w:val="595959" w:themeColor="text1" w:themeTint="A6"/>
      <w:spacing w:val="15"/>
      <w14:textFill>
        <w14:solidFill>
          <w14:schemeClr w14:val="tx1">
            <w14:lumMod w14:val="65000"/>
            <w14:lumOff w14:val="35000"/>
          </w14:schemeClr>
        </w14:solidFill>
      </w14:textFill>
    </w:rPr>
  </w:style>
  <w:style w:type="paragraph" w:styleId="36">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7">
    <w:name w:val="Quote"/>
    <w:basedOn w:val="1"/>
    <w:next w:val="1"/>
    <w:link w:val="38"/>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8">
    <w:name w:val="引用 字符"/>
    <w:basedOn w:val="19"/>
    <w:link w:val="37"/>
    <w:uiPriority w:val="29"/>
    <w:rPr>
      <w:i/>
      <w:iCs/>
      <w:color w:val="404040" w:themeColor="text1" w:themeTint="BF"/>
      <w14:textFill>
        <w14:solidFill>
          <w14:schemeClr w14:val="tx1">
            <w14:lumMod w14:val="75000"/>
            <w14:lumOff w14:val="25000"/>
          </w14:schemeClr>
        </w14:solidFill>
      </w14:textFill>
    </w:rPr>
  </w:style>
  <w:style w:type="paragraph" w:styleId="39">
    <w:name w:val="Intense Quote"/>
    <w:basedOn w:val="1"/>
    <w:next w:val="1"/>
    <w:link w:val="40"/>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40">
    <w:name w:val="明显引用 字符"/>
    <w:basedOn w:val="19"/>
    <w:link w:val="39"/>
    <w:uiPriority w:val="30"/>
    <w:rPr>
      <w:i/>
      <w:iCs/>
      <w:color w:val="4472C4" w:themeColor="accent1"/>
      <w14:textFill>
        <w14:solidFill>
          <w14:schemeClr w14:val="accent1"/>
        </w14:solidFill>
      </w14:textFill>
    </w:rPr>
  </w:style>
  <w:style w:type="character" w:customStyle="1" w:styleId="41">
    <w:name w:val="Subtle Emphasis"/>
    <w:basedOn w:val="19"/>
    <w:qFormat/>
    <w:uiPriority w:val="19"/>
    <w:rPr>
      <w:i/>
      <w:iCs/>
      <w:color w:val="404040" w:themeColor="text1" w:themeTint="BF"/>
      <w14:textFill>
        <w14:solidFill>
          <w14:schemeClr w14:val="tx1">
            <w14:lumMod w14:val="75000"/>
            <w14:lumOff w14:val="25000"/>
          </w14:schemeClr>
        </w14:solidFill>
      </w14:textFill>
    </w:rPr>
  </w:style>
  <w:style w:type="character" w:customStyle="1" w:styleId="42">
    <w:name w:val="Intense Emphasis"/>
    <w:basedOn w:val="19"/>
    <w:qFormat/>
    <w:uiPriority w:val="21"/>
    <w:rPr>
      <w:i/>
      <w:iCs/>
      <w:color w:val="4472C4" w:themeColor="accent1"/>
      <w14:textFill>
        <w14:solidFill>
          <w14:schemeClr w14:val="accent1"/>
        </w14:solidFill>
      </w14:textFill>
    </w:rPr>
  </w:style>
  <w:style w:type="character" w:customStyle="1" w:styleId="43">
    <w:name w:val="Subtle Reference"/>
    <w:basedOn w:val="19"/>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4">
    <w:name w:val="Intense Reference"/>
    <w:basedOn w:val="19"/>
    <w:qFormat/>
    <w:uiPriority w:val="32"/>
    <w:rPr>
      <w:b/>
      <w:bCs/>
      <w:smallCaps/>
      <w:color w:val="4472C4" w:themeColor="accent1"/>
      <w:spacing w:val="5"/>
      <w14:textFill>
        <w14:solidFill>
          <w14:schemeClr w14:val="accent1"/>
        </w14:solidFill>
      </w14:textFill>
    </w:rPr>
  </w:style>
  <w:style w:type="character" w:customStyle="1" w:styleId="45">
    <w:name w:val="Book Title"/>
    <w:basedOn w:val="19"/>
    <w:qFormat/>
    <w:uiPriority w:val="33"/>
    <w:rPr>
      <w:b/>
      <w:bCs/>
      <w:i/>
      <w:iCs/>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E6832A-DC98-48C2-91CD-D03CD22B133E}">
  <ds:schemaRefs/>
</ds:datastoreItem>
</file>

<file path=docProps/app.xml><?xml version="1.0" encoding="utf-8"?>
<Properties xmlns="http://schemas.openxmlformats.org/officeDocument/2006/extended-properties" xmlns:vt="http://schemas.openxmlformats.org/officeDocument/2006/docPropsVTypes">
  <Template>Normal.dotm</Template>
  <Pages>4</Pages>
  <Words>317</Words>
  <Characters>1810</Characters>
  <Lines>15</Lines>
  <Paragraphs>4</Paragraphs>
  <TotalTime>18</TotalTime>
  <ScaleCrop>false</ScaleCrop>
  <LinksUpToDate>false</LinksUpToDate>
  <CharactersWithSpaces>2123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2021-02-05T11:48:00Z</dcterms:created>
  <dc:creator>郑 云</dc:creator>
  <cp:lastModifiedBy>SunsetRollercoaster</cp:lastModifiedBy>
  <dcterms:modified xsi:type="dcterms:W3CDTF">2021-02-08T10:34:40Z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