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问题F：检查高等教育的脉搏和温度</w:t>
      </w:r>
    </w:p>
    <w:p>
      <w:pPr>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概要：</w:t>
      </w:r>
    </w:p>
    <w:p>
      <w:pPr>
        <w:ind w:firstLine="420"/>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评定一个国家的高等教育程度、以及其发展趋势是否健康对于一个国家的发展至关重要。然而，一个国家的高等教育的健康与否往往受到许多因素的影响。例如：经济发展水平、入学率、政府的教育投入等等，不同的因素所造成的影响程度也有所不同。因此，我们在确定影响高等教育水平的几大因素的基础上，需要通过对原始数据集进行训练从而合理确定相应因素的权重大小，从而建立数学模型来评价一个国家的高等教育情况。</w:t>
      </w:r>
    </w:p>
    <w:p>
      <w:pPr>
        <w:ind w:firstLine="420"/>
        <w:rPr>
          <w:rFonts w:hint="eastAsia" w:ascii="宋体" w:hAnsi="宋体" w:eastAsia="宋体" w:cs="宋体"/>
          <w:b/>
          <w:bCs/>
          <w:color w:val="121212"/>
          <w:sz w:val="23"/>
          <w:szCs w:val="23"/>
          <w:shd w:val="clear" w:color="auto" w:fill="FFFFFF"/>
          <w:lang w:val="en-US" w:eastAsia="zh-CN"/>
        </w:rPr>
      </w:pPr>
      <w:r>
        <w:rPr>
          <w:rFonts w:hint="eastAsia" w:ascii="宋体" w:hAnsi="宋体" w:eastAsia="宋体" w:cs="宋体"/>
          <w:b/>
          <w:bCs/>
          <w:color w:val="121212"/>
          <w:sz w:val="23"/>
          <w:szCs w:val="23"/>
          <w:shd w:val="clear" w:color="auto" w:fill="FFFFFF"/>
        </w:rPr>
        <w:t>我们建立了基本模型</w:t>
      </w:r>
      <w:r>
        <w:rPr>
          <w:rFonts w:hint="eastAsia" w:ascii="宋体" w:hAnsi="宋体" w:eastAsia="宋体" w:cs="宋体"/>
          <w:b/>
          <w:bCs/>
          <w:color w:val="121212"/>
          <w:sz w:val="23"/>
          <w:szCs w:val="23"/>
          <w:shd w:val="clear" w:color="auto" w:fill="FFFFFF"/>
          <w:lang w:val="en-US" w:eastAsia="zh-CN"/>
        </w:rPr>
        <w:t>TOPSIS</w:t>
      </w:r>
      <w:r>
        <w:rPr>
          <w:rFonts w:hint="eastAsia" w:ascii="宋体" w:hAnsi="宋体" w:eastAsia="宋体" w:cs="宋体"/>
          <w:b/>
          <w:bCs/>
          <w:color w:val="121212"/>
          <w:sz w:val="23"/>
          <w:szCs w:val="23"/>
          <w:shd w:val="clear" w:color="auto" w:fill="FFFFFF"/>
        </w:rPr>
        <w:t>来评定各个国家的高等教育现状，并研究各个因素的影响程度和完善所需要的成本。针对目前世界上高等教育发展不平衡的现状，我们选择了</w:t>
      </w:r>
      <w:r>
        <w:rPr>
          <w:rFonts w:hint="eastAsia" w:ascii="宋体" w:hAnsi="宋体" w:eastAsia="宋体" w:cs="宋体"/>
          <w:b/>
          <w:bCs/>
          <w:color w:val="121212"/>
          <w:sz w:val="23"/>
          <w:szCs w:val="23"/>
          <w:shd w:val="clear" w:color="auto" w:fill="FFFFFF"/>
          <w:lang w:val="en-US" w:eastAsia="zh-CN"/>
        </w:rPr>
        <w:t>四</w:t>
      </w:r>
      <w:r>
        <w:rPr>
          <w:rFonts w:hint="eastAsia" w:ascii="宋体" w:hAnsi="宋体" w:eastAsia="宋体" w:cs="宋体"/>
          <w:b/>
          <w:bCs/>
          <w:color w:val="121212"/>
          <w:sz w:val="23"/>
          <w:szCs w:val="23"/>
          <w:shd w:val="clear" w:color="auto" w:fill="FFFFFF"/>
        </w:rPr>
        <w:t>个国家进行高等教育的检查。其中，对于</w:t>
      </w:r>
      <w:r>
        <w:rPr>
          <w:rFonts w:hint="eastAsia" w:ascii="宋体" w:hAnsi="宋体" w:eastAsia="宋体" w:cs="宋体"/>
          <w:b/>
          <w:bCs/>
          <w:color w:val="121212"/>
          <w:sz w:val="23"/>
          <w:szCs w:val="23"/>
          <w:shd w:val="clear" w:color="auto" w:fill="FFFFFF"/>
          <w:lang w:val="en-US" w:eastAsia="zh-CN"/>
        </w:rPr>
        <w:t>墨西哥这个国家</w:t>
      </w:r>
      <w:r>
        <w:rPr>
          <w:rFonts w:hint="eastAsia" w:ascii="宋体" w:hAnsi="宋体" w:eastAsia="宋体" w:cs="宋体"/>
          <w:b/>
          <w:bCs/>
          <w:color w:val="121212"/>
          <w:sz w:val="23"/>
          <w:szCs w:val="23"/>
          <w:shd w:val="clear" w:color="auto" w:fill="FFFFFF"/>
        </w:rPr>
        <w:t>在评价其高等教育的基础上，还提出了各类意见</w:t>
      </w:r>
      <w:r>
        <w:rPr>
          <w:rFonts w:hint="eastAsia" w:ascii="宋体" w:hAnsi="宋体" w:eastAsia="宋体" w:cs="宋体"/>
          <w:b/>
          <w:bCs/>
          <w:color w:val="121212"/>
          <w:sz w:val="23"/>
          <w:szCs w:val="23"/>
          <w:shd w:val="clear" w:color="auto" w:fill="FFFFFF"/>
          <w:lang w:eastAsia="zh-CN"/>
        </w:rPr>
        <w:t>，</w:t>
      </w:r>
      <w:r>
        <w:rPr>
          <w:rFonts w:hint="eastAsia" w:ascii="宋体" w:hAnsi="宋体" w:eastAsia="宋体" w:cs="宋体"/>
          <w:b/>
          <w:bCs/>
          <w:color w:val="121212"/>
          <w:sz w:val="23"/>
          <w:szCs w:val="23"/>
          <w:shd w:val="clear" w:color="auto" w:fill="FFFFFF"/>
          <w:lang w:val="en-US" w:eastAsia="zh-CN"/>
        </w:rPr>
        <w:t>包括提高办学规模，提高公民进入高等院校学习意识，提高毕业率，制定一系列对于科研人员的奖励措施，增加高校与世界其他高校的交流。</w:t>
      </w:r>
    </w:p>
    <w:p>
      <w:pPr>
        <w:ind w:firstLine="420"/>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除了评价当前国家高等教育的健康状况之外，我们还建立了与之对应的灰色预测模型。从而预测其之后高等教育的发展是否呈现积极向的一面。</w:t>
      </w:r>
    </w:p>
    <w:p>
      <w:pPr>
        <w:ind w:firstLine="420"/>
        <w:rPr>
          <w:rFonts w:hint="eastAsia" w:ascii="宋体" w:hAnsi="宋体" w:eastAsia="宋体" w:cs="宋体"/>
          <w:b/>
          <w:bCs/>
          <w:color w:val="121212"/>
          <w:sz w:val="23"/>
          <w:szCs w:val="23"/>
          <w:shd w:val="clear" w:color="auto" w:fill="FFFFFF"/>
        </w:rPr>
      </w:pPr>
    </w:p>
    <w:p>
      <w:pPr>
        <w:ind w:firstLine="0" w:firstLineChars="0"/>
        <w:rPr>
          <w:rFonts w:hint="eastAsia" w:ascii="宋体" w:hAnsi="宋体" w:eastAsia="宋体" w:cs="宋体"/>
          <w:b/>
          <w:bCs/>
          <w:color w:val="121212"/>
          <w:sz w:val="23"/>
          <w:szCs w:val="23"/>
          <w:shd w:val="clear" w:color="auto" w:fill="FFFFFF"/>
          <w:lang w:val="en-US" w:eastAsia="zh-CN"/>
        </w:rPr>
      </w:pPr>
      <w:r>
        <w:rPr>
          <w:rFonts w:hint="eastAsia" w:ascii="宋体" w:hAnsi="宋体" w:eastAsia="宋体" w:cs="宋体"/>
          <w:b/>
          <w:bCs/>
          <w:color w:val="121212"/>
          <w:sz w:val="23"/>
          <w:szCs w:val="23"/>
          <w:shd w:val="clear" w:color="auto" w:fill="FFFFFF"/>
          <w:lang w:val="en-US" w:eastAsia="zh-CN"/>
        </w:rPr>
        <w:t>关键词：高等教育系统、评估模型、逼近理想解排序法（topsis）</w:t>
      </w: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sdt>
      <w:sdtPr>
        <w:rPr>
          <w:rFonts w:hint="eastAsia" w:ascii="宋体" w:hAnsi="宋体" w:eastAsia="宋体" w:cs="宋体"/>
          <w:lang w:val="zh-CN"/>
        </w:rPr>
        <w:id w:val="-1433190656"/>
        <w:docPartObj>
          <w:docPartGallery w:val="Table of Contents"/>
          <w:docPartUnique/>
        </w:docPartObj>
      </w:sdtPr>
      <w:sdtEndPr>
        <w:rPr>
          <w:rFonts w:hint="eastAsia" w:ascii="宋体" w:hAnsi="宋体" w:eastAsia="宋体" w:cs="宋体"/>
          <w:b/>
          <w:bCs/>
          <w:color w:val="auto"/>
          <w:sz w:val="22"/>
          <w:szCs w:val="22"/>
          <w:lang w:val="zh-CN"/>
        </w:rPr>
      </w:sdtEndPr>
      <w:sdtContent>
        <w:p>
          <w:pPr>
            <w:pStyle w:val="25"/>
            <w:rPr>
              <w:rFonts w:hint="eastAsia" w:ascii="宋体" w:hAnsi="宋体" w:eastAsia="宋体" w:cs="宋体"/>
            </w:rPr>
          </w:pPr>
          <w:r>
            <w:rPr>
              <w:rFonts w:hint="eastAsia" w:ascii="宋体" w:hAnsi="宋体" w:eastAsia="宋体" w:cs="宋体"/>
              <w:lang w:val="zh-CN"/>
            </w:rPr>
            <w:t>目录</w:t>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"_Toc63606970" </w:instrText>
          </w:r>
          <w:r>
            <w:rPr>
              <w:rFonts w:hint="eastAsia" w:ascii="宋体" w:hAnsi="宋体" w:eastAsia="宋体" w:cs="宋体"/>
            </w:rPr>
            <w:fldChar w:fldCharType="separate"/>
          </w:r>
          <w:r>
            <w:rPr>
              <w:rStyle w:val="22"/>
              <w:rFonts w:hint="eastAsia" w:ascii="宋体" w:hAnsi="宋体" w:eastAsia="宋体" w:cs="宋体"/>
            </w:rPr>
            <w:t>1.</w:t>
          </w:r>
          <w:r>
            <w:rPr>
              <w:rFonts w:hint="eastAsia" w:ascii="宋体" w:hAnsi="宋体" w:eastAsia="宋体" w:cs="宋体"/>
              <w:kern w:val="2"/>
              <w:sz w:val="21"/>
            </w:rPr>
            <w:tab/>
          </w:r>
          <w:r>
            <w:rPr>
              <w:rStyle w:val="22"/>
              <w:rFonts w:hint="eastAsia" w:ascii="宋体" w:hAnsi="宋体" w:eastAsia="宋体" w:cs="宋体"/>
              <w:shd w:val="clear" w:color="auto" w:fill="FFFFFF"/>
            </w:rPr>
            <w:t>问题重述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"_Toc63606971" </w:instrText>
          </w:r>
          <w:r>
            <w:rPr>
              <w:rFonts w:hint="eastAsia" w:ascii="宋体" w:hAnsi="宋体" w:eastAsia="宋体" w:cs="宋体"/>
            </w:rPr>
            <w:fldChar w:fldCharType="separate"/>
          </w:r>
          <w:r>
            <w:rPr>
              <w:rStyle w:val="22"/>
              <w:rFonts w:hint="eastAsia" w:ascii="宋体" w:hAnsi="宋体" w:eastAsia="宋体" w:cs="宋体"/>
            </w:rPr>
            <w:t>1.1</w:t>
          </w:r>
          <w:r>
            <w:rPr>
              <w:rFonts w:hint="eastAsia" w:ascii="宋体" w:hAnsi="宋体" w:eastAsia="宋体" w:cs="宋体"/>
              <w:kern w:val="2"/>
              <w:sz w:val="21"/>
            </w:rPr>
            <w:tab/>
          </w:r>
          <w:r>
            <w:rPr>
              <w:rStyle w:val="22"/>
              <w:rFonts w:hint="eastAsia" w:ascii="宋体" w:hAnsi="宋体" w:eastAsia="宋体" w:cs="宋体"/>
            </w:rPr>
            <w:t>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"_Toc63606972" </w:instrText>
          </w:r>
          <w:r>
            <w:rPr>
              <w:rFonts w:hint="eastAsia" w:ascii="宋体" w:hAnsi="宋体" w:eastAsia="宋体" w:cs="宋体"/>
            </w:rPr>
            <w:fldChar w:fldCharType="separate"/>
          </w:r>
          <w:r>
            <w:rPr>
              <w:rStyle w:val="22"/>
              <w:rFonts w:hint="eastAsia" w:ascii="宋体" w:hAnsi="宋体" w:eastAsia="宋体" w:cs="宋体"/>
            </w:rPr>
            <w:t>1.1.1 问题概述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"_Toc63606973" </w:instrText>
          </w:r>
          <w:r>
            <w:rPr>
              <w:rFonts w:hint="eastAsia" w:ascii="宋体" w:hAnsi="宋体" w:eastAsia="宋体" w:cs="宋体"/>
            </w:rPr>
            <w:fldChar w:fldCharType="separate"/>
          </w:r>
          <w:r>
            <w:rPr>
              <w:rStyle w:val="22"/>
              <w:rFonts w:hint="eastAsia" w:ascii="宋体" w:hAnsi="宋体" w:eastAsia="宋体" w:cs="宋体"/>
            </w:rPr>
            <w:t>1.1.2 评价高等教育的因素</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"_Toc63606974" </w:instrText>
          </w:r>
          <w:r>
            <w:rPr>
              <w:rFonts w:hint="eastAsia" w:ascii="宋体" w:hAnsi="宋体" w:eastAsia="宋体" w:cs="宋体"/>
            </w:rPr>
            <w:fldChar w:fldCharType="separate"/>
          </w:r>
          <w:r>
            <w:rPr>
              <w:rStyle w:val="22"/>
              <w:rFonts w:hint="eastAsia" w:ascii="宋体" w:hAnsi="宋体" w:eastAsia="宋体" w:cs="宋体"/>
            </w:rPr>
            <w:t>1.2</w:t>
          </w:r>
          <w:r>
            <w:rPr>
              <w:rFonts w:hint="eastAsia" w:ascii="宋体" w:hAnsi="宋体" w:eastAsia="宋体" w:cs="宋体"/>
              <w:kern w:val="2"/>
              <w:sz w:val="21"/>
            </w:rPr>
            <w:tab/>
          </w:r>
          <w:r>
            <w:rPr>
              <w:rStyle w:val="22"/>
              <w:rFonts w:hint="eastAsia" w:ascii="宋体" w:hAnsi="宋体" w:eastAsia="宋体" w:cs="宋体"/>
            </w:rPr>
            <w:t>文献综述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"_Toc63606975" </w:instrText>
          </w:r>
          <w:r>
            <w:rPr>
              <w:rFonts w:hint="eastAsia" w:ascii="宋体" w:hAnsi="宋体" w:eastAsia="宋体" w:cs="宋体"/>
            </w:rPr>
            <w:fldChar w:fldCharType="separate"/>
          </w:r>
          <w:r>
            <w:rPr>
              <w:rStyle w:val="22"/>
              <w:rFonts w:hint="eastAsia" w:ascii="宋体" w:hAnsi="宋体" w:eastAsia="宋体" w:cs="宋体"/>
            </w:rPr>
            <w:t>1.3</w:t>
          </w:r>
          <w:r>
            <w:rPr>
              <w:rFonts w:hint="eastAsia" w:ascii="宋体" w:hAnsi="宋体" w:eastAsia="宋体" w:cs="宋体"/>
              <w:kern w:val="2"/>
              <w:sz w:val="21"/>
            </w:rPr>
            <w:tab/>
          </w:r>
          <w:r>
            <w:rPr>
              <w:rStyle w:val="22"/>
              <w:rFonts w:hint="eastAsia" w:ascii="宋体" w:hAnsi="宋体" w:eastAsia="宋体" w:cs="宋体"/>
            </w:rPr>
            <w:t>任务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_Toc63606975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"_Toc63606976" </w:instrText>
          </w:r>
          <w:r>
            <w:rPr>
              <w:rFonts w:hint="eastAsia" w:ascii="宋体" w:hAnsi="宋体" w:eastAsia="宋体" w:cs="宋体"/>
            </w:rPr>
            <w:fldChar w:fldCharType="separate"/>
          </w:r>
          <w:r>
            <w:rPr>
              <w:rStyle w:val="22"/>
              <w:rFonts w:hint="eastAsia" w:ascii="宋体" w:hAnsi="宋体" w:eastAsia="宋体" w:cs="宋体"/>
            </w:rPr>
            <w:t>2.</w:t>
          </w:r>
          <w:r>
            <w:rPr>
              <w:rFonts w:hint="eastAsia" w:ascii="宋体" w:hAnsi="宋体" w:eastAsia="宋体" w:cs="宋体"/>
              <w:kern w:val="2"/>
              <w:sz w:val="21"/>
            </w:rPr>
            <w:tab/>
          </w:r>
          <w:r>
            <w:rPr>
              <w:rStyle w:val="22"/>
              <w:rFonts w:hint="eastAsia" w:ascii="宋体" w:hAnsi="宋体" w:eastAsia="宋体" w:cs="宋体"/>
              <w:shd w:val="clear" w:color="auto" w:fill="FFFFFF"/>
            </w:rPr>
            <w:t>模型假设和符号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_Toc63606976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"_Toc63606977" </w:instrText>
          </w:r>
          <w:r>
            <w:rPr>
              <w:rFonts w:hint="eastAsia" w:ascii="宋体" w:hAnsi="宋体" w:eastAsia="宋体" w:cs="宋体"/>
            </w:rPr>
            <w:fldChar w:fldCharType="separate"/>
          </w:r>
          <w:r>
            <w:rPr>
              <w:rStyle w:val="22"/>
              <w:rFonts w:hint="eastAsia" w:ascii="宋体" w:hAnsi="宋体" w:eastAsia="宋体" w:cs="宋体"/>
            </w:rPr>
            <w:t>2.1</w:t>
          </w:r>
          <w:r>
            <w:rPr>
              <w:rFonts w:hint="eastAsia" w:ascii="宋体" w:hAnsi="宋体" w:eastAsia="宋体" w:cs="宋体"/>
              <w:kern w:val="2"/>
              <w:sz w:val="21"/>
            </w:rPr>
            <w:tab/>
          </w:r>
          <w:r>
            <w:rPr>
              <w:rStyle w:val="22"/>
              <w:rFonts w:hint="eastAsia" w:ascii="宋体" w:hAnsi="宋体" w:eastAsia="宋体" w:cs="宋体"/>
            </w:rPr>
            <w:t>假设和理由</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_Toc63606977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"_Toc63606978" </w:instrText>
          </w:r>
          <w:r>
            <w:rPr>
              <w:rFonts w:hint="eastAsia" w:ascii="宋体" w:hAnsi="宋体" w:eastAsia="宋体" w:cs="宋体"/>
            </w:rPr>
            <w:fldChar w:fldCharType="separate"/>
          </w:r>
          <w:r>
            <w:rPr>
              <w:rStyle w:val="22"/>
              <w:rFonts w:hint="eastAsia" w:ascii="宋体" w:hAnsi="宋体" w:eastAsia="宋体" w:cs="宋体"/>
            </w:rPr>
            <w:t>2.2</w:t>
          </w:r>
          <w:r>
            <w:rPr>
              <w:rFonts w:hint="eastAsia" w:ascii="宋体" w:hAnsi="宋体" w:eastAsia="宋体" w:cs="宋体"/>
              <w:kern w:val="2"/>
              <w:sz w:val="21"/>
            </w:rPr>
            <w:tab/>
          </w:r>
          <w:r>
            <w:rPr>
              <w:rStyle w:val="22"/>
              <w:rFonts w:hint="eastAsia" w:ascii="宋体" w:hAnsi="宋体" w:eastAsia="宋体" w:cs="宋体"/>
            </w:rPr>
            <w:t>符号</w:t>
          </w:r>
          <w:r>
            <w:rPr>
              <w:rFonts w:hint="eastAsia" w:ascii="宋体" w:hAnsi="宋体" w:eastAsia="宋体" w:cs="宋体"/>
            </w:rPr>
            <w:tab/>
          </w:r>
          <w:r>
            <w:rPr>
              <w:rFonts w:hint="eastAsia" w:ascii="宋体" w:hAnsi="宋体" w:eastAsia="宋体" w:cs="宋体"/>
            </w:rPr>
            <w:t>2</w:t>
          </w:r>
          <w:r>
            <w:rPr>
              <w:rFonts w:hint="eastAsia" w:ascii="宋体" w:hAnsi="宋体" w:eastAsia="宋体" w:cs="宋体"/>
            </w:rPr>
            <w:fldChar w:fldCharType="begin"/>
          </w:r>
          <w:r>
            <w:rPr>
              <w:rFonts w:hint="eastAsia" w:ascii="宋体" w:hAnsi="宋体" w:eastAsia="宋体" w:cs="宋体"/>
            </w:rPr>
            <w:instrText xml:space="preserve"> PAGEREF _Toc63606978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"_Toc63606979" </w:instrText>
          </w:r>
          <w:r>
            <w:rPr>
              <w:rFonts w:hint="eastAsia" w:ascii="宋体" w:hAnsi="宋体" w:eastAsia="宋体" w:cs="宋体"/>
            </w:rPr>
            <w:fldChar w:fldCharType="separate"/>
          </w:r>
          <w:r>
            <w:rPr>
              <w:rStyle w:val="22"/>
              <w:rFonts w:hint="eastAsia" w:ascii="宋体" w:hAnsi="宋体" w:eastAsia="宋体" w:cs="宋体"/>
            </w:rPr>
            <w:t>3.</w:t>
          </w:r>
          <w:r>
            <w:rPr>
              <w:rFonts w:hint="eastAsia" w:ascii="宋体" w:hAnsi="宋体" w:eastAsia="宋体" w:cs="宋体"/>
              <w:kern w:val="2"/>
              <w:sz w:val="21"/>
            </w:rPr>
            <w:tab/>
          </w:r>
          <w:r>
            <w:rPr>
              <w:rStyle w:val="22"/>
              <w:rFonts w:hint="eastAsia" w:ascii="宋体" w:hAnsi="宋体" w:eastAsia="宋体" w:cs="宋体"/>
              <w:shd w:val="clear" w:color="auto" w:fill="FFFFFF"/>
            </w:rPr>
            <w:t>评分的基本模型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"_Toc63606980" </w:instrText>
          </w:r>
          <w:r>
            <w:rPr>
              <w:rFonts w:hint="eastAsia" w:ascii="宋体" w:hAnsi="宋体" w:eastAsia="宋体" w:cs="宋体"/>
            </w:rPr>
            <w:fldChar w:fldCharType="separate"/>
          </w:r>
          <w:r>
            <w:rPr>
              <w:rStyle w:val="22"/>
              <w:rFonts w:hint="eastAsia" w:ascii="宋体" w:hAnsi="宋体" w:eastAsia="宋体" w:cs="宋体"/>
            </w:rPr>
            <w:t>3.1</w:t>
          </w:r>
          <w:r>
            <w:rPr>
              <w:rFonts w:hint="eastAsia" w:ascii="宋体" w:hAnsi="宋体" w:eastAsia="宋体" w:cs="宋体"/>
              <w:kern w:val="2"/>
              <w:sz w:val="21"/>
            </w:rPr>
            <w:tab/>
          </w:r>
          <w:r>
            <w:rPr>
              <w:rStyle w:val="22"/>
              <w:rFonts w:hint="eastAsia" w:ascii="宋体" w:hAnsi="宋体" w:eastAsia="宋体" w:cs="宋体"/>
            </w:rPr>
            <w:t>模型设计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"_Toc63606981" </w:instrText>
          </w:r>
          <w:r>
            <w:rPr>
              <w:rFonts w:hint="eastAsia" w:ascii="宋体" w:hAnsi="宋体" w:eastAsia="宋体" w:cs="宋体"/>
            </w:rPr>
            <w:fldChar w:fldCharType="separate"/>
          </w:r>
          <w:r>
            <w:rPr>
              <w:rStyle w:val="22"/>
              <w:rFonts w:hint="eastAsia" w:ascii="宋体" w:hAnsi="宋体" w:eastAsia="宋体" w:cs="宋体"/>
            </w:rPr>
            <w:t>3.2</w:t>
          </w:r>
          <w:r>
            <w:rPr>
              <w:rFonts w:hint="eastAsia" w:ascii="宋体" w:hAnsi="宋体" w:eastAsia="宋体" w:cs="宋体"/>
              <w:kern w:val="2"/>
              <w:sz w:val="21"/>
            </w:rPr>
            <w:tab/>
          </w:r>
          <w:r>
            <w:rPr>
              <w:rStyle w:val="22"/>
              <w:rFonts w:hint="eastAsia" w:ascii="宋体" w:hAnsi="宋体" w:eastAsia="宋体" w:cs="宋体"/>
            </w:rPr>
            <w:t>模型结果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"_Toc63606982" </w:instrText>
          </w:r>
          <w:r>
            <w:rPr>
              <w:rFonts w:hint="eastAsia" w:ascii="宋体" w:hAnsi="宋体" w:eastAsia="宋体" w:cs="宋体"/>
            </w:rPr>
            <w:fldChar w:fldCharType="separate"/>
          </w:r>
          <w:r>
            <w:rPr>
              <w:rStyle w:val="22"/>
              <w:rFonts w:hint="eastAsia" w:ascii="宋体" w:hAnsi="宋体" w:eastAsia="宋体" w:cs="宋体"/>
            </w:rPr>
            <w:t>4.</w:t>
          </w:r>
          <w:r>
            <w:rPr>
              <w:rFonts w:hint="eastAsia" w:ascii="宋体" w:hAnsi="宋体" w:eastAsia="宋体" w:cs="宋体"/>
              <w:kern w:val="2"/>
              <w:sz w:val="21"/>
            </w:rPr>
            <w:tab/>
          </w:r>
          <w:r>
            <w:rPr>
              <w:rStyle w:val="22"/>
              <w:rFonts w:hint="eastAsia" w:ascii="宋体" w:hAnsi="宋体" w:eastAsia="宋体" w:cs="宋体"/>
              <w:shd w:val="clear" w:color="auto" w:fill="FFFFFF"/>
            </w:rPr>
            <w:t>对于目标国家的建议及其理论支撑</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"_Toc63606983" </w:instrText>
          </w:r>
          <w:r>
            <w:rPr>
              <w:rFonts w:hint="eastAsia" w:ascii="宋体" w:hAnsi="宋体" w:eastAsia="宋体" w:cs="宋体"/>
            </w:rPr>
            <w:fldChar w:fldCharType="separate"/>
          </w:r>
          <w:r>
            <w:rPr>
              <w:rStyle w:val="22"/>
              <w:rFonts w:hint="eastAsia" w:ascii="宋体" w:hAnsi="宋体" w:eastAsia="宋体" w:cs="宋体"/>
            </w:rPr>
            <w:t>4.1</w:t>
          </w:r>
          <w:r>
            <w:rPr>
              <w:rFonts w:hint="eastAsia" w:ascii="宋体" w:hAnsi="宋体" w:eastAsia="宋体" w:cs="宋体"/>
              <w:kern w:val="2"/>
              <w:sz w:val="21"/>
            </w:rPr>
            <w:tab/>
          </w:r>
          <w:r>
            <w:rPr>
              <w:rStyle w:val="22"/>
              <w:rFonts w:hint="eastAsia" w:ascii="宋体" w:hAnsi="宋体" w:eastAsia="宋体" w:cs="宋体"/>
            </w:rPr>
            <w:t>建议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"_Toc63606984" </w:instrText>
          </w:r>
          <w:r>
            <w:rPr>
              <w:rFonts w:hint="eastAsia" w:ascii="宋体" w:hAnsi="宋体" w:eastAsia="宋体" w:cs="宋体"/>
            </w:rPr>
            <w:fldChar w:fldCharType="separate"/>
          </w:r>
          <w:r>
            <w:rPr>
              <w:rStyle w:val="22"/>
              <w:rFonts w:hint="eastAsia" w:ascii="宋体" w:hAnsi="宋体" w:eastAsia="宋体" w:cs="宋体"/>
            </w:rPr>
            <w:t>4.2</w:t>
          </w:r>
          <w:r>
            <w:rPr>
              <w:rFonts w:hint="eastAsia" w:ascii="宋体" w:hAnsi="宋体" w:eastAsia="宋体" w:cs="宋体"/>
              <w:kern w:val="2"/>
              <w:sz w:val="21"/>
            </w:rPr>
            <w:tab/>
          </w:r>
          <w:r>
            <w:rPr>
              <w:rStyle w:val="22"/>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"_Toc63606985" </w:instrText>
          </w:r>
          <w:r>
            <w:rPr>
              <w:rFonts w:hint="eastAsia" w:ascii="宋体" w:hAnsi="宋体" w:eastAsia="宋体" w:cs="宋体"/>
            </w:rPr>
            <w:fldChar w:fldCharType="separate"/>
          </w:r>
          <w:r>
            <w:rPr>
              <w:rStyle w:val="22"/>
              <w:rFonts w:hint="eastAsia" w:ascii="宋体" w:hAnsi="宋体" w:eastAsia="宋体" w:cs="宋体"/>
            </w:rPr>
            <w:t>5.</w:t>
          </w:r>
          <w:r>
            <w:rPr>
              <w:rFonts w:hint="eastAsia" w:ascii="宋体" w:hAnsi="宋体" w:eastAsia="宋体" w:cs="宋体"/>
              <w:kern w:val="2"/>
              <w:sz w:val="21"/>
            </w:rPr>
            <w:tab/>
          </w:r>
          <w:r>
            <w:rPr>
              <w:rStyle w:val="22"/>
              <w:rFonts w:hint="eastAsia" w:ascii="宋体" w:hAnsi="宋体" w:eastAsia="宋体" w:cs="宋体"/>
              <w:shd w:val="clear" w:color="auto" w:fill="FFFFFF"/>
            </w:rPr>
            <w:t>结论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_Toc63606985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"_Toc63606986" </w:instrText>
          </w:r>
          <w:r>
            <w:rPr>
              <w:rFonts w:hint="eastAsia" w:ascii="宋体" w:hAnsi="宋体" w:eastAsia="宋体" w:cs="宋体"/>
            </w:rPr>
            <w:fldChar w:fldCharType="separate"/>
          </w:r>
          <w:r>
            <w:rPr>
              <w:rStyle w:val="22"/>
              <w:rFonts w:hint="eastAsia" w:ascii="宋体" w:hAnsi="宋体" w:eastAsia="宋体" w:cs="宋体"/>
            </w:rPr>
            <w:t>5.1</w:t>
          </w:r>
          <w:r>
            <w:rPr>
              <w:rFonts w:hint="eastAsia" w:ascii="宋体" w:hAnsi="宋体" w:eastAsia="宋体" w:cs="宋体"/>
              <w:kern w:val="2"/>
              <w:sz w:val="21"/>
            </w:rPr>
            <w:tab/>
          </w:r>
          <w:r>
            <w:rPr>
              <w:rStyle w:val="22"/>
              <w:rFonts w:hint="eastAsia" w:ascii="宋体" w:hAnsi="宋体" w:eastAsia="宋体" w:cs="宋体"/>
            </w:rPr>
            <w:t>优点和缺点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"_Toc63606987" </w:instrText>
          </w:r>
          <w:r>
            <w:rPr>
              <w:rFonts w:hint="eastAsia" w:ascii="宋体" w:hAnsi="宋体" w:eastAsia="宋体" w:cs="宋体"/>
            </w:rPr>
            <w:fldChar w:fldCharType="separate"/>
          </w:r>
          <w:r>
            <w:rPr>
              <w:rStyle w:val="22"/>
              <w:rFonts w:hint="eastAsia" w:ascii="宋体" w:hAnsi="宋体" w:eastAsia="宋体" w:cs="宋体"/>
            </w:rPr>
            <w:t>5.1.1 优点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"_Toc63606988" </w:instrText>
          </w:r>
          <w:r>
            <w:rPr>
              <w:rFonts w:hint="eastAsia" w:ascii="宋体" w:hAnsi="宋体" w:eastAsia="宋体" w:cs="宋体"/>
            </w:rPr>
            <w:fldChar w:fldCharType="separate"/>
          </w:r>
          <w:r>
            <w:rPr>
              <w:rStyle w:val="22"/>
              <w:rFonts w:hint="eastAsia" w:ascii="宋体" w:hAnsi="宋体" w:eastAsia="宋体" w:cs="宋体"/>
            </w:rPr>
            <w:t>5.1.2 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"_Toc63606989" </w:instrText>
          </w:r>
          <w:r>
            <w:rPr>
              <w:rFonts w:hint="eastAsia" w:ascii="宋体" w:hAnsi="宋体" w:eastAsia="宋体" w:cs="宋体"/>
            </w:rPr>
            <w:fldChar w:fldCharType="separate"/>
          </w:r>
          <w:r>
            <w:rPr>
              <w:rStyle w:val="22"/>
              <w:rFonts w:hint="eastAsia" w:ascii="宋体" w:hAnsi="宋体" w:eastAsia="宋体" w:cs="宋体"/>
            </w:rPr>
            <w:t>5.2</w:t>
          </w:r>
          <w:r>
            <w:rPr>
              <w:rFonts w:hint="eastAsia" w:ascii="宋体" w:hAnsi="宋体" w:eastAsia="宋体" w:cs="宋体"/>
              <w:kern w:val="2"/>
              <w:sz w:val="21"/>
            </w:rPr>
            <w:tab/>
          </w:r>
          <w:r>
            <w:rPr>
              <w:rStyle w:val="22"/>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"_Toc63606990" </w:instrText>
          </w:r>
          <w:r>
            <w:rPr>
              <w:rFonts w:hint="eastAsia" w:ascii="宋体" w:hAnsi="宋体" w:eastAsia="宋体" w:cs="宋体"/>
            </w:rPr>
            <w:fldChar w:fldCharType="separate"/>
          </w:r>
          <w:r>
            <w:rPr>
              <w:rStyle w:val="22"/>
              <w:rFonts w:hint="eastAsia" w:ascii="宋体" w:hAnsi="宋体" w:eastAsia="宋体" w:cs="宋体"/>
              <w:shd w:val="clear" w:color="auto" w:fill="FFFFFF"/>
            </w:rPr>
            <w:t>附录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_Toc63606990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pStyle w:val="2"/>
        <w:numPr>
          <w:ilvl w:val="0"/>
          <w:numId w:val="1"/>
        </w:numPr>
        <w:rPr>
          <w:rFonts w:hint="eastAsia" w:ascii="宋体" w:hAnsi="宋体" w:eastAsia="宋体" w:cs="宋体"/>
          <w:shd w:val="clear" w:color="auto" w:fill="FFFFFF"/>
        </w:rPr>
      </w:pPr>
      <w:bookmarkStart w:id="0" w:name="_Toc63606970"/>
      <w:r>
        <w:rPr>
          <w:rFonts w:hint="eastAsia" w:ascii="宋体" w:hAnsi="宋体" w:eastAsia="宋体" w:cs="宋体"/>
          <w:shd w:val="clear" w:color="auto" w:fill="FFFFFF"/>
        </w:rPr>
        <w:t>问题重述</w:t>
      </w:r>
      <w:bookmarkEnd w:id="0"/>
    </w:p>
    <w:p>
      <w:pPr>
        <w:pStyle w:val="3"/>
        <w:numPr>
          <w:ilvl w:val="1"/>
          <w:numId w:val="1"/>
        </w:numPr>
        <w:rPr>
          <w:rFonts w:hint="eastAsia" w:ascii="宋体" w:hAnsi="宋体" w:eastAsia="宋体" w:cs="宋体"/>
        </w:rPr>
      </w:pPr>
      <w:bookmarkStart w:id="1" w:name="_Toc63606971"/>
      <w:r>
        <w:rPr>
          <w:rFonts w:hint="eastAsia" w:ascii="宋体" w:hAnsi="宋体" w:eastAsia="宋体" w:cs="宋体"/>
        </w:rPr>
        <w:t>背景</w:t>
      </w:r>
      <w:bookmarkEnd w:id="1"/>
    </w:p>
    <w:p>
      <w:pPr>
        <w:pStyle w:val="4"/>
        <w:numPr>
          <w:ilvl w:val="2"/>
          <w:numId w:val="1"/>
        </w:numPr>
        <w:ind w:left="720" w:leftChars="0" w:hanging="720" w:firstLineChars="0"/>
        <w:rPr>
          <w:rFonts w:hint="eastAsia" w:ascii="宋体" w:hAnsi="宋体" w:eastAsia="宋体" w:cs="宋体"/>
        </w:rPr>
      </w:pPr>
      <w:bookmarkStart w:id="2" w:name="_Toc63606972"/>
      <w:r>
        <w:rPr>
          <w:rFonts w:hint="eastAsia" w:ascii="宋体" w:hAnsi="宋体" w:eastAsia="宋体" w:cs="宋体"/>
        </w:rPr>
        <w:t>问题概述</w:t>
      </w:r>
      <w:bookmarkEnd w:id="2"/>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系统一个国家提高自己公民知识与文化素质的一个重要组成部分，国家的长久良好发展离不开一个健康，可持续的高等教育系统。每个国家的高等教育方式各不相同，每种方式都有其优缺点，现在就存在两个需要解决的问题，第一个是如何评估一个国家的高等教育系统是否健康，这个国家对应的高等教育系统是否是可持续的。第二个就是如果对应的高等教育系统存在可以改进的地方，如何根据这个国家的实际情况，制定一些政策和改革时间表，优化这个高等教育系统。</w:t>
      </w:r>
    </w:p>
    <w:p>
      <w:pPr>
        <w:pStyle w:val="4"/>
        <w:numPr>
          <w:ilvl w:val="2"/>
          <w:numId w:val="1"/>
        </w:numPr>
        <w:ind w:left="720" w:leftChars="0" w:hanging="720" w:firstLineChars="0"/>
        <w:rPr>
          <w:rFonts w:hint="eastAsia" w:ascii="宋体" w:hAnsi="宋体" w:eastAsia="宋体" w:cs="宋体"/>
        </w:rPr>
      </w:pPr>
      <w:bookmarkStart w:id="3" w:name="_Toc63606973"/>
      <w:r>
        <w:rPr>
          <w:rFonts w:hint="eastAsia" w:ascii="宋体" w:hAnsi="宋体" w:eastAsia="宋体" w:cs="宋体"/>
        </w:rPr>
        <w:t>评价高等教育的因素</w:t>
      </w:r>
      <w:bookmarkEnd w:id="3"/>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高等教育入学率：毛入学率用来测量，并得出在高等教育中，入学学生数对比符合入学的居民数的比率[1]。这个可以用来反映一个国家的高等学校的招生规模，学生毕业情况等。</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高等教育学生人均政府支出（占人均GDP）</w:t>
      </w:r>
      <w:r>
        <w:rPr>
          <w:rFonts w:hint="eastAsia" w:ascii="宋体" w:hAnsi="宋体" w:eastAsia="宋体" w:cs="宋体"/>
          <w:lang w:val="en-US" w:eastAsia="zh-CN"/>
        </w:rPr>
        <w:t>：直观反映政府对于高等教育的资金投入情况，从而了解该国家对于高等教育的重视情况。</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受高等教育人数占总人数的（25岁以上的）比例</w:t>
      </w:r>
      <w:r>
        <w:rPr>
          <w:rFonts w:hint="eastAsia" w:ascii="宋体" w:hAnsi="宋体" w:eastAsia="宋体" w:cs="宋体"/>
          <w:lang w:val="en-US" w:eastAsia="zh-CN"/>
        </w:rPr>
        <w:t>：通过这个数据，可以得知该国家以前的高等教育系统建立的是否完善，国民高等教育普及情况。</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国家近年来的发表的科学与技术文章</w:t>
      </w:r>
      <w:r>
        <w:rPr>
          <w:rFonts w:hint="eastAsia" w:ascii="宋体" w:hAnsi="宋体" w:eastAsia="宋体" w:cs="宋体"/>
          <w:lang w:val="en-US" w:eastAsia="zh-CN"/>
        </w:rPr>
        <w:t>：了解该国的高等教育发展水平，同时反映受过高等教育的公民他们的科研能力。</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高等教育毕业率</w:t>
      </w:r>
      <w:r>
        <w:rPr>
          <w:rFonts w:hint="eastAsia" w:ascii="宋体" w:hAnsi="宋体" w:eastAsia="宋体" w:cs="宋体"/>
          <w:lang w:val="en-US" w:eastAsia="zh-CN"/>
        </w:rPr>
        <w:t>：通过学生毕业情况，可以知道学生得学习情况以及高校对于学生的要求。</w:t>
      </w:r>
    </w:p>
    <w:p>
      <w:pPr>
        <w:pStyle w:val="3"/>
        <w:numPr>
          <w:ilvl w:val="1"/>
          <w:numId w:val="1"/>
        </w:numPr>
        <w:rPr>
          <w:rFonts w:hint="eastAsia" w:ascii="宋体" w:hAnsi="宋体" w:eastAsia="宋体" w:cs="宋体"/>
        </w:rPr>
      </w:pPr>
      <w:bookmarkStart w:id="4" w:name="_Toc63606974"/>
      <w:r>
        <w:rPr>
          <w:rFonts w:hint="eastAsia" w:ascii="宋体" w:hAnsi="宋体" w:eastAsia="宋体" w:cs="宋体"/>
        </w:rPr>
        <w:t>文献综述</w:t>
      </w:r>
      <w:bookmarkEnd w:id="4"/>
    </w:p>
    <w:p>
      <w:pPr>
        <w:pStyle w:val="3"/>
        <w:numPr>
          <w:ilvl w:val="1"/>
          <w:numId w:val="1"/>
        </w:numPr>
        <w:rPr>
          <w:rFonts w:hint="eastAsia" w:ascii="宋体" w:hAnsi="宋体" w:eastAsia="宋体" w:cs="宋体"/>
        </w:rPr>
      </w:pPr>
      <w:bookmarkStart w:id="5" w:name="_Toc63606975"/>
      <w:r>
        <w:rPr>
          <w:rFonts w:hint="eastAsia" w:ascii="宋体" w:hAnsi="宋体" w:eastAsia="宋体" w:cs="宋体"/>
        </w:rPr>
        <w:t>任务</w:t>
      </w:r>
      <w:bookmarkEnd w:id="5"/>
    </w:p>
    <w:p>
      <w:pPr>
        <w:numPr>
          <w:ilvl w:val="0"/>
          <w:numId w:val="3"/>
        </w:numPr>
        <w:rPr>
          <w:rFonts w:hint="eastAsia"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 xml:space="preserve">提出有针对性的政策和实施时间表，以支持从当前状态到提议状态的迁移；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使用您的模型来制定和/或评估政策的有效性；</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讨论在过渡期和最终状态下实施计划的现实世界影响（例如，对学生，教师，学校，社区，国家的影响），并承认现实是变革很难。</w:t>
      </w:r>
    </w:p>
    <w:p>
      <w:pPr>
        <w:numPr>
          <w:ilvl w:val="0"/>
          <w:numId w:val="0"/>
        </w:numPr>
        <w:rPr>
          <w:rFonts w:hint="eastAsia" w:ascii="宋体" w:hAnsi="宋体" w:eastAsia="宋体" w:cs="宋体"/>
          <w:lang w:val="en-US" w:eastAsia="zh-CN"/>
        </w:rPr>
      </w:pPr>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6" w:name="_Toc63606976"/>
      <w:r>
        <w:rPr>
          <w:rFonts w:hint="eastAsia" w:ascii="宋体" w:hAnsi="宋体" w:eastAsia="宋体" w:cs="宋体"/>
          <w:shd w:val="clear" w:color="auto" w:fill="FFFFFF"/>
        </w:rPr>
        <w:t>模型假设和符号</w:t>
      </w:r>
      <w:bookmarkEnd w:id="6"/>
    </w:p>
    <w:p>
      <w:pPr>
        <w:pStyle w:val="3"/>
        <w:numPr>
          <w:ilvl w:val="1"/>
          <w:numId w:val="1"/>
        </w:numPr>
        <w:rPr>
          <w:rFonts w:hint="eastAsia" w:ascii="宋体" w:hAnsi="宋体" w:eastAsia="宋体" w:cs="宋体"/>
        </w:rPr>
      </w:pPr>
      <w:bookmarkStart w:id="7" w:name="_Toc63606977"/>
      <w:r>
        <w:rPr>
          <w:rFonts w:hint="eastAsia" w:ascii="宋体" w:hAnsi="宋体" w:eastAsia="宋体" w:cs="宋体"/>
        </w:rPr>
        <w:t>假设和理由</w:t>
      </w:r>
      <w:bookmarkEnd w:id="7"/>
    </w:p>
    <w:p>
      <w:pPr>
        <w:pStyle w:val="3"/>
        <w:numPr>
          <w:ilvl w:val="1"/>
          <w:numId w:val="1"/>
        </w:numPr>
        <w:rPr>
          <w:rFonts w:hint="eastAsia" w:ascii="宋体" w:hAnsi="宋体" w:eastAsia="宋体" w:cs="宋体"/>
        </w:rPr>
      </w:pPr>
      <w:bookmarkStart w:id="8" w:name="_Toc63606978"/>
      <w:r>
        <w:rPr>
          <w:rFonts w:hint="eastAsia" w:ascii="宋体" w:hAnsi="宋体" w:eastAsia="宋体" w:cs="宋体"/>
        </w:rPr>
        <w:t>符号</w:t>
      </w:r>
      <w:bookmarkEnd w:id="8"/>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符号</w:t>
            </w:r>
          </w:p>
        </w:tc>
        <w:tc>
          <w:tcPr>
            <w:tcW w:w="4261"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rPr>
              <w:t>E</w:t>
            </w:r>
            <w:r>
              <w:rPr>
                <w:rFonts w:hint="eastAsia" w:ascii="宋体" w:hAnsi="宋体" w:eastAsia="宋体" w:cs="宋体"/>
                <w:vertAlign w:val="baseline"/>
                <w:lang w:val="en-US" w:eastAsia="zh-CN"/>
              </w:rPr>
              <w:t>R</w:t>
            </w:r>
          </w:p>
        </w:tc>
        <w:tc>
          <w:tcPr>
            <w:tcW w:w="4261" w:type="dxa"/>
            <w:vAlign w:val="center"/>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Higher education enrollment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GE</w:t>
            </w:r>
          </w:p>
        </w:tc>
        <w:tc>
          <w:tcPr>
            <w:tcW w:w="4261"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Government expenditure per student, tertiary (% of GDP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2" w:hRule="atLeast"/>
        </w:trPr>
        <w:tc>
          <w:tcPr>
            <w:tcW w:w="4261" w:type="dxa"/>
            <w:vAlign w:val="center"/>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EA</w:t>
            </w:r>
          </w:p>
        </w:tc>
        <w:tc>
          <w:tcPr>
            <w:tcW w:w="4261"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Educational attainment, at least completed short-cycle tertiary, population 25+, total (%) (cumulative)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NUM</w:t>
            </w:r>
          </w:p>
        </w:tc>
        <w:tc>
          <w:tcPr>
            <w:tcW w:w="4261" w:type="dxa"/>
            <w:vAlign w:val="center"/>
          </w:tcPr>
          <w:p>
            <w:pPr>
              <w:jc w:val="center"/>
              <w:rPr>
                <w:rFonts w:hint="eastAsia" w:ascii="宋体" w:hAnsi="宋体" w:eastAsia="宋体" w:cs="宋体"/>
                <w:color w:val="auto"/>
                <w:sz w:val="22"/>
                <w:szCs w:val="22"/>
                <w:vertAlign w:val="baseline"/>
              </w:rPr>
            </w:pPr>
            <w:r>
              <w:rPr>
                <w:rFonts w:hint="eastAsia" w:ascii="宋体" w:hAnsi="宋体" w:eastAsia="宋体" w:cs="宋体"/>
                <w:i w:val="0"/>
                <w:caps w:val="0"/>
                <w:color w:val="auto"/>
                <w:spacing w:val="0"/>
                <w:sz w:val="22"/>
                <w:szCs w:val="22"/>
                <w:shd w:val="clear" w:fill="FFFFFF"/>
              </w:rPr>
              <w:t>Number of scientific and technical articles published each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GR</w:t>
            </w:r>
          </w:p>
        </w:tc>
        <w:tc>
          <w:tcPr>
            <w:tcW w:w="4261" w:type="dxa"/>
            <w:vAlign w:val="center"/>
          </w:tcPr>
          <w:p>
            <w:pPr>
              <w:jc w:val="center"/>
              <w:rPr>
                <w:rFonts w:hint="eastAsia" w:ascii="宋体" w:hAnsi="宋体" w:eastAsia="宋体" w:cs="宋体"/>
                <w:color w:val="auto"/>
                <w:sz w:val="22"/>
                <w:szCs w:val="22"/>
                <w:vertAlign w:val="baseline"/>
              </w:rPr>
            </w:pPr>
            <w:r>
              <w:rPr>
                <w:rFonts w:hint="eastAsia" w:ascii="宋体" w:hAnsi="宋体" w:eastAsia="宋体" w:cs="宋体"/>
                <w:i w:val="0"/>
                <w:caps w:val="0"/>
                <w:color w:val="auto"/>
                <w:spacing w:val="0"/>
                <w:sz w:val="22"/>
                <w:szCs w:val="22"/>
                <w:shd w:val="clear" w:fill="FFFFFF"/>
              </w:rPr>
              <w:t>Gross graduation ratio for tertiary education</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9" w:name="_Toc63606979"/>
      <w:r>
        <w:rPr>
          <w:rFonts w:hint="eastAsia" w:ascii="宋体" w:hAnsi="宋体" w:eastAsia="宋体" w:cs="宋体"/>
          <w:shd w:val="clear" w:color="auto" w:fill="FFFFFF"/>
        </w:rPr>
        <w:t>评分的基本模型</w:t>
      </w:r>
      <w:bookmarkEnd w:id="9"/>
    </w:p>
    <w:p>
      <w:pPr>
        <w:pStyle w:val="3"/>
        <w:numPr>
          <w:ilvl w:val="1"/>
          <w:numId w:val="1"/>
        </w:numPr>
        <w:rPr>
          <w:rFonts w:hint="default" w:eastAsia="宋体"/>
          <w:lang w:val="en-US" w:eastAsia="zh-CN"/>
        </w:rPr>
      </w:pPr>
      <w:bookmarkStart w:id="10" w:name="_Toc63606980"/>
      <w:r>
        <w:rPr>
          <w:rFonts w:hint="eastAsia" w:ascii="宋体" w:hAnsi="宋体" w:eastAsia="宋体" w:cs="宋体"/>
        </w:rPr>
        <w:t>模型设计</w:t>
      </w:r>
      <w:bookmarkEnd w:id="10"/>
    </w:p>
    <w:p>
      <w:pPr>
        <w:pStyle w:val="3"/>
        <w:numPr>
          <w:ilvl w:val="1"/>
          <w:numId w:val="1"/>
        </w:numPr>
        <w:rPr>
          <w:rFonts w:hint="eastAsia" w:ascii="宋体" w:hAnsi="宋体" w:eastAsia="宋体" w:cs="宋体"/>
        </w:rPr>
      </w:pPr>
      <w:bookmarkStart w:id="11" w:name="_Toc63606981"/>
      <w:r>
        <w:rPr>
          <w:rFonts w:hint="eastAsia" w:ascii="宋体" w:hAnsi="宋体" w:eastAsia="宋体" w:cs="宋体"/>
        </w:rPr>
        <w:t>模型结果</w:t>
      </w:r>
      <w:bookmarkEnd w:id="11"/>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12" w:name="_Toc63606982"/>
      <w:r>
        <w:rPr>
          <w:rFonts w:hint="eastAsia" w:ascii="宋体" w:hAnsi="宋体" w:eastAsia="宋体" w:cs="宋体"/>
          <w:shd w:val="clear" w:color="auto" w:fill="FFFFFF"/>
        </w:rPr>
        <w:t>对于目标国家的建议及其理论支撑</w:t>
      </w:r>
      <w:bookmarkEnd w:id="12"/>
    </w:p>
    <w:p>
      <w:pPr>
        <w:pStyle w:val="3"/>
        <w:numPr>
          <w:ilvl w:val="1"/>
          <w:numId w:val="1"/>
        </w:numPr>
        <w:rPr>
          <w:rFonts w:hint="eastAsia" w:ascii="宋体" w:hAnsi="宋体" w:eastAsia="宋体" w:cs="宋体"/>
        </w:rPr>
      </w:pPr>
      <w:bookmarkStart w:id="13" w:name="_Toc63606983"/>
      <w:r>
        <w:rPr>
          <w:rFonts w:hint="eastAsia" w:ascii="宋体" w:hAnsi="宋体" w:eastAsia="宋体" w:cs="宋体"/>
        </w:rPr>
        <w:t>建议</w:t>
      </w:r>
      <w:bookmarkEnd w:id="13"/>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结合已有的模型结果，我们又分析了这4个国家的从2013年到2018年的历史数据，为了直观，我们对其进行了可视化。</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除了上面的工作，我们还找到了2013年，2017年这4个国家的高等教育中国际留学生所占比例。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Borders>
              <w:tl2br w:val="single" w:color="auto" w:sz="4" w:space="0"/>
            </w:tcBorders>
            <w:vAlign w:val="center"/>
          </w:tcPr>
          <w:p>
            <w:pPr>
              <w:jc w:val="center"/>
              <w:rPr>
                <w:rFonts w:hint="default" w:ascii="宋体" w:hAnsi="宋体" w:eastAsia="宋体" w:cs="宋体"/>
                <w:vertAlign w:val="baseline"/>
                <w:lang w:val="en-US" w:eastAsia="zh-CN"/>
              </w:rPr>
            </w:pPr>
          </w:p>
        </w:tc>
        <w:tc>
          <w:tcPr>
            <w:tcW w:w="2130" w:type="dxa"/>
            <w:vAlign w:val="center"/>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2013</w:t>
            </w:r>
          </w:p>
        </w:tc>
        <w:tc>
          <w:tcPr>
            <w:tcW w:w="2131" w:type="dxa"/>
            <w:vAlign w:val="center"/>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Kingdom</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18.98</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States</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3.86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5.345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Australia</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20.86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Mexico</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0.20</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0.46</w:t>
            </w:r>
          </w:p>
        </w:tc>
      </w:tr>
    </w:tbl>
    <w:p>
      <w:pPr>
        <w:ind w:firstLine="420" w:firstLineChars="0"/>
        <w:rPr>
          <w:rFonts w:hint="default" w:ascii="宋体" w:hAnsi="宋体" w:eastAsia="宋体" w:cs="宋体"/>
          <w:lang w:val="en-US" w:eastAsia="zh-CN"/>
        </w:rPr>
      </w:pPr>
    </w:p>
    <w:p>
      <w:pPr>
        <w:pStyle w:val="3"/>
        <w:numPr>
          <w:ilvl w:val="1"/>
          <w:numId w:val="1"/>
        </w:numPr>
        <w:rPr>
          <w:rFonts w:hint="eastAsia" w:ascii="宋体" w:hAnsi="宋体" w:eastAsia="宋体" w:cs="宋体"/>
        </w:rPr>
      </w:pPr>
      <w:bookmarkStart w:id="14" w:name="_Toc63606984"/>
      <w:r>
        <w:rPr>
          <w:rFonts w:hint="eastAsia" w:ascii="宋体" w:hAnsi="宋体" w:eastAsia="宋体" w:cs="宋体"/>
        </w:rPr>
        <w:t>理论分析</w:t>
      </w:r>
      <w:bookmarkEnd w:id="14"/>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15" w:name="_Toc63606985"/>
      <w:r>
        <w:rPr>
          <w:rFonts w:hint="eastAsia" w:ascii="宋体" w:hAnsi="宋体" w:eastAsia="宋体" w:cs="宋体"/>
          <w:shd w:val="clear" w:color="auto" w:fill="FFFFFF"/>
        </w:rPr>
        <w:t>结论</w:t>
      </w:r>
      <w:bookmarkEnd w:id="15"/>
    </w:p>
    <w:p>
      <w:pPr>
        <w:pStyle w:val="3"/>
        <w:numPr>
          <w:ilvl w:val="1"/>
          <w:numId w:val="1"/>
        </w:numPr>
        <w:rPr>
          <w:rFonts w:hint="eastAsia" w:ascii="宋体" w:hAnsi="宋体" w:eastAsia="宋体" w:cs="宋体"/>
        </w:rPr>
      </w:pPr>
      <w:bookmarkStart w:id="16" w:name="_Toc63606986"/>
      <w:r>
        <w:rPr>
          <w:rFonts w:hint="eastAsia" w:ascii="宋体" w:hAnsi="宋体" w:eastAsia="宋体" w:cs="宋体"/>
        </w:rPr>
        <w:t>优点和缺点</w:t>
      </w:r>
      <w:bookmarkEnd w:id="16"/>
    </w:p>
    <w:p>
      <w:pPr>
        <w:pStyle w:val="4"/>
        <w:numPr>
          <w:ilvl w:val="2"/>
          <w:numId w:val="1"/>
        </w:numPr>
        <w:ind w:left="720" w:leftChars="0" w:hanging="720" w:firstLineChars="0"/>
        <w:rPr>
          <w:rFonts w:hint="eastAsia" w:ascii="宋体" w:hAnsi="宋体" w:eastAsia="宋体" w:cs="宋体"/>
        </w:rPr>
      </w:pPr>
      <w:bookmarkStart w:id="17" w:name="_Toc63606987"/>
      <w:r>
        <w:rPr>
          <w:rFonts w:hint="eastAsia" w:ascii="宋体" w:hAnsi="宋体" w:eastAsia="宋体" w:cs="宋体"/>
        </w:rPr>
        <w:t>优点</w:t>
      </w:r>
      <w:bookmarkEnd w:id="17"/>
    </w:p>
    <w:p>
      <w:pPr>
        <w:pStyle w:val="4"/>
        <w:ind w:firstLine="420" w:firstLineChars="0"/>
        <w:rPr>
          <w:rFonts w:hint="eastAsia" w:ascii="宋体" w:hAnsi="宋体" w:eastAsia="宋体" w:cs="宋体"/>
          <w:color w:val="auto"/>
          <w:sz w:val="22"/>
          <w:szCs w:val="22"/>
          <w:lang w:val="en-US" w:eastAsia="zh-CN"/>
        </w:rPr>
      </w:pPr>
      <w:bookmarkStart w:id="18" w:name="_Toc63606988"/>
      <w:r>
        <w:rPr>
          <w:rFonts w:hint="eastAsia" w:ascii="宋体" w:hAnsi="宋体" w:eastAsia="宋体" w:cs="宋体"/>
          <w:color w:val="auto"/>
          <w:sz w:val="22"/>
          <w:szCs w:val="22"/>
          <w:lang w:val="en-US" w:eastAsia="zh-CN"/>
        </w:rPr>
        <w:t>我们对比了四个国家的高等教育系统，分别是欧洲的英国，大洋洲的澳大利亚，以及位于北美洲的美国和墨西哥。通过建立topsis模型分析对比他们的高等教育入学率、高等教育学生人均政府支出（占人均GDP）、受高等教育人数占总人数的（25岁以上的）比例、每个国家近年来的发表的科学与技术文章、高等教育毕业率。这个模型xxxxx</w:t>
      </w:r>
    </w:p>
    <w:p>
      <w:pPr>
        <w:pStyle w:val="4"/>
        <w:rPr>
          <w:rFonts w:hint="eastAsia" w:ascii="宋体" w:hAnsi="宋体" w:eastAsia="宋体" w:cs="宋体"/>
        </w:rPr>
      </w:pPr>
      <w:r>
        <w:rPr>
          <w:rFonts w:hint="eastAsia" w:ascii="宋体" w:hAnsi="宋体" w:eastAsia="宋体" w:cs="宋体"/>
        </w:rPr>
        <w:t>5.1.2</w:t>
      </w:r>
      <w:r>
        <w:rPr>
          <w:rFonts w:hint="eastAsia" w:ascii="宋体" w:hAnsi="宋体" w:eastAsia="宋体" w:cs="宋体"/>
        </w:rPr>
        <w:t xml:space="preserve"> </w:t>
      </w:r>
      <w:r>
        <w:rPr>
          <w:rFonts w:hint="eastAsia" w:ascii="宋体" w:hAnsi="宋体" w:eastAsia="宋体" w:cs="宋体"/>
        </w:rPr>
        <w:t>缺点</w:t>
      </w:r>
      <w:bookmarkEnd w:id="18"/>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模型本身存在的问题</w:t>
      </w:r>
    </w:p>
    <w:p>
      <w:pPr>
        <w:pStyle w:val="3"/>
        <w:numPr>
          <w:ilvl w:val="1"/>
          <w:numId w:val="1"/>
        </w:numPr>
        <w:rPr>
          <w:rFonts w:hint="eastAsia" w:ascii="宋体" w:hAnsi="宋体" w:eastAsia="宋体" w:cs="宋体"/>
        </w:rPr>
      </w:pPr>
      <w:bookmarkStart w:id="19" w:name="_Toc63606989"/>
      <w:r>
        <w:rPr>
          <w:rFonts w:hint="eastAsia" w:ascii="宋体" w:hAnsi="宋体" w:eastAsia="宋体" w:cs="宋体"/>
        </w:rPr>
        <w:t>理论分析</w:t>
      </w:r>
      <w:bookmarkEnd w:id="19"/>
    </w:p>
    <w:p>
      <w:pPr>
        <w:rPr>
          <w:rFonts w:hint="eastAsia" w:ascii="宋体" w:hAnsi="宋体" w:eastAsia="宋体" w:cs="宋体"/>
        </w:rPr>
      </w:pPr>
    </w:p>
    <w:p>
      <w:pPr>
        <w:pStyle w:val="2"/>
        <w:ind w:left="360"/>
        <w:rPr>
          <w:rFonts w:hint="eastAsia" w:ascii="宋体" w:hAnsi="宋体" w:eastAsia="宋体" w:cs="宋体"/>
          <w:shd w:val="clear" w:color="auto" w:fill="FFFFFF"/>
        </w:rPr>
      </w:pPr>
      <w:bookmarkStart w:id="20" w:name="_Toc63606990"/>
      <w:r>
        <w:rPr>
          <w:rFonts w:hint="eastAsia" w:ascii="宋体" w:hAnsi="宋体" w:eastAsia="宋体" w:cs="宋体"/>
          <w:shd w:val="clear" w:color="auto" w:fill="FFFFFF"/>
        </w:rPr>
        <w:t>附录</w:t>
      </w:r>
      <w:bookmarkEnd w:id="20"/>
    </w:p>
    <w:p>
      <w:pPr>
        <w:rPr>
          <w:rFonts w:hint="eastAsia" w:ascii="宋体" w:hAnsi="宋体" w:eastAsia="宋体" w:cs="宋体"/>
          <w:shd w:val="clear" w:color="auto" w:fill="FFFFFF"/>
        </w:rPr>
      </w:pPr>
    </w:p>
    <w:p>
      <w:pPr>
        <w:rPr>
          <w:rFonts w:hint="eastAsia" w:ascii="宋体" w:hAnsi="宋体" w:eastAsia="宋体" w:cs="宋体"/>
          <w:color w:val="0000FF"/>
          <w:sz w:val="32"/>
          <w:szCs w:val="32"/>
          <w:shd w:val="clear" w:color="auto" w:fill="FFFFFF"/>
          <w:lang w:val="en-US" w:eastAsia="zh-CN"/>
        </w:rPr>
      </w:pPr>
      <w:r>
        <w:rPr>
          <w:rFonts w:hint="eastAsia" w:ascii="宋体" w:hAnsi="宋体" w:eastAsia="宋体" w:cs="宋体"/>
          <w:color w:val="0000FF"/>
          <w:sz w:val="32"/>
          <w:szCs w:val="32"/>
          <w:shd w:val="clear" w:color="auto" w:fill="FFFFFF"/>
          <w:lang w:val="en-US" w:eastAsia="zh-CN"/>
        </w:rPr>
        <w:t>参考</w:t>
      </w:r>
    </w:p>
    <w:p>
      <w:pPr>
        <w:rPr>
          <w:rFonts w:hint="eastAsia" w:ascii="宋体" w:hAnsi="宋体" w:eastAsia="宋体" w:cs="宋体"/>
          <w:color w:val="0000FF"/>
          <w:sz w:val="24"/>
          <w:szCs w:val="24"/>
          <w:shd w:val="clear" w:color="auto" w:fill="FFFFFF"/>
          <w:lang w:val="en-US" w:eastAsia="zh-CN"/>
        </w:rPr>
      </w:pPr>
      <w:r>
        <w:rPr>
          <w:rFonts w:hint="eastAsia" w:ascii="宋体" w:hAnsi="宋体" w:eastAsia="宋体" w:cs="宋体"/>
          <w:color w:val="0000FF"/>
          <w:sz w:val="24"/>
          <w:szCs w:val="24"/>
          <w:shd w:val="clear" w:color="auto" w:fill="FFFFFF"/>
          <w:lang w:val="en-US" w:eastAsia="zh-CN"/>
        </w:rPr>
        <w:t>[1](毛入学率)（https://en.wikipedia.org/wiki/Gross_enrolment_ratio）</w:t>
      </w:r>
    </w:p>
    <w:p>
      <w:pPr>
        <w:rPr>
          <w:rFonts w:hint="eastAsia" w:ascii="宋体" w:hAnsi="宋体" w:eastAsia="宋体" w:cs="宋体"/>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D8C10"/>
    <w:multiLevelType w:val="singleLevel"/>
    <w:tmpl w:val="BA9D8C10"/>
    <w:lvl w:ilvl="0" w:tentative="0">
      <w:start w:val="1"/>
      <w:numFmt w:val="decimal"/>
      <w:suff w:val="space"/>
      <w:lvlText w:val="%1."/>
      <w:lvlJc w:val="left"/>
    </w:lvl>
  </w:abstractNum>
  <w:abstractNum w:abstractNumId="1">
    <w:nsid w:val="01677143"/>
    <w:multiLevelType w:val="multilevel"/>
    <w:tmpl w:val="01677143"/>
    <w:lvl w:ilvl="0" w:tentative="0">
      <w:start w:val="1"/>
      <w:numFmt w:val="decimal"/>
      <w:lvlText w:val="%1."/>
      <w:lvlJc w:val="left"/>
      <w:pPr>
        <w:ind w:left="360" w:hanging="360"/>
      </w:pPr>
      <w:rPr>
        <w:rFonts w:hint="default"/>
      </w:rPr>
    </w:lvl>
    <w:lvl w:ilvl="1" w:tentative="0">
      <w:start w:val="1"/>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7EEFB012"/>
    <w:multiLevelType w:val="singleLevel"/>
    <w:tmpl w:val="7EEFB01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A2"/>
    <w:rsid w:val="00200EA2"/>
    <w:rsid w:val="0022688A"/>
    <w:rsid w:val="00261461"/>
    <w:rsid w:val="002A4A5A"/>
    <w:rsid w:val="00306FC3"/>
    <w:rsid w:val="00336ED4"/>
    <w:rsid w:val="00366A42"/>
    <w:rsid w:val="003A7FDC"/>
    <w:rsid w:val="004158DF"/>
    <w:rsid w:val="00495B6C"/>
    <w:rsid w:val="004B2CC8"/>
    <w:rsid w:val="00536450"/>
    <w:rsid w:val="00575F6D"/>
    <w:rsid w:val="00581ED9"/>
    <w:rsid w:val="005D196C"/>
    <w:rsid w:val="005D2804"/>
    <w:rsid w:val="005E1D9C"/>
    <w:rsid w:val="005F1766"/>
    <w:rsid w:val="006477DA"/>
    <w:rsid w:val="00653EA4"/>
    <w:rsid w:val="00667605"/>
    <w:rsid w:val="006916C9"/>
    <w:rsid w:val="006A5315"/>
    <w:rsid w:val="006B1DFB"/>
    <w:rsid w:val="00704DC8"/>
    <w:rsid w:val="00853664"/>
    <w:rsid w:val="008C26A9"/>
    <w:rsid w:val="008C307A"/>
    <w:rsid w:val="00906902"/>
    <w:rsid w:val="009F6364"/>
    <w:rsid w:val="00A32B49"/>
    <w:rsid w:val="00AB4E97"/>
    <w:rsid w:val="00B00BA3"/>
    <w:rsid w:val="00B03965"/>
    <w:rsid w:val="00BD753B"/>
    <w:rsid w:val="00C21917"/>
    <w:rsid w:val="00C909BB"/>
    <w:rsid w:val="00CE2222"/>
    <w:rsid w:val="00E15BA6"/>
    <w:rsid w:val="00F372A9"/>
    <w:rsid w:val="00F57B6E"/>
    <w:rsid w:val="00FF7430"/>
    <w:rsid w:val="06C954D4"/>
    <w:rsid w:val="075D134B"/>
    <w:rsid w:val="08B075F2"/>
    <w:rsid w:val="12C95496"/>
    <w:rsid w:val="14C969ED"/>
    <w:rsid w:val="15FC0C1F"/>
    <w:rsid w:val="16DB779C"/>
    <w:rsid w:val="18F47A2A"/>
    <w:rsid w:val="1A5833FC"/>
    <w:rsid w:val="1BFB6A0C"/>
    <w:rsid w:val="1CE90AF4"/>
    <w:rsid w:val="1F502EB6"/>
    <w:rsid w:val="22B8269D"/>
    <w:rsid w:val="271748C3"/>
    <w:rsid w:val="32107285"/>
    <w:rsid w:val="3813518D"/>
    <w:rsid w:val="3BE357AF"/>
    <w:rsid w:val="41E46716"/>
    <w:rsid w:val="44475E70"/>
    <w:rsid w:val="450C30A5"/>
    <w:rsid w:val="492F6A1C"/>
    <w:rsid w:val="494B230D"/>
    <w:rsid w:val="4CEC23B5"/>
    <w:rsid w:val="4FF34E45"/>
    <w:rsid w:val="521611A2"/>
    <w:rsid w:val="54B97D9F"/>
    <w:rsid w:val="56566141"/>
    <w:rsid w:val="581155A6"/>
    <w:rsid w:val="596015E8"/>
    <w:rsid w:val="5D5B5EC6"/>
    <w:rsid w:val="5EC90073"/>
    <w:rsid w:val="6019562E"/>
    <w:rsid w:val="610F4754"/>
    <w:rsid w:val="639220AE"/>
    <w:rsid w:val="66B47055"/>
    <w:rsid w:val="6B4159CC"/>
    <w:rsid w:val="6FCA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8"/>
    <w:semiHidden/>
    <w:unhideWhenUsed/>
    <w:qFormat/>
    <w:uiPriority w:val="9"/>
    <w:pPr>
      <w:keepNext/>
      <w:keepLines/>
      <w:spacing w:before="40" w:after="0"/>
      <w:outlineLvl w:val="3"/>
    </w:pPr>
    <w:rPr>
      <w:i/>
      <w:iCs/>
    </w:rPr>
  </w:style>
  <w:style w:type="paragraph" w:styleId="6">
    <w:name w:val="heading 5"/>
    <w:basedOn w:val="1"/>
    <w:next w:val="1"/>
    <w:link w:val="29"/>
    <w:semiHidden/>
    <w:unhideWhenUsed/>
    <w:qFormat/>
    <w:uiPriority w:val="9"/>
    <w:pPr>
      <w:keepNext/>
      <w:keepLines/>
      <w:spacing w:before="40" w:after="0"/>
      <w:outlineLvl w:val="4"/>
    </w:pPr>
    <w:rPr>
      <w:color w:val="2F5597" w:themeColor="accent1" w:themeShade="BF"/>
    </w:rPr>
  </w:style>
  <w:style w:type="paragraph" w:styleId="7">
    <w:name w:val="heading 6"/>
    <w:basedOn w:val="1"/>
    <w:next w:val="1"/>
    <w:link w:val="30"/>
    <w:semiHidden/>
    <w:unhideWhenUsed/>
    <w:qFormat/>
    <w:uiPriority w:val="9"/>
    <w:pPr>
      <w:keepNext/>
      <w:keepLines/>
      <w:spacing w:before="40" w:after="0"/>
      <w:outlineLvl w:val="5"/>
    </w:pPr>
    <w:rPr>
      <w:color w:val="203864" w:themeColor="accent1" w:themeShade="80"/>
    </w:rPr>
  </w:style>
  <w:style w:type="paragraph" w:styleId="8">
    <w:name w:val="heading 7"/>
    <w:basedOn w:val="1"/>
    <w:next w:val="1"/>
    <w:link w:val="31"/>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2"/>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uiPriority w:val="39"/>
    <w:pPr>
      <w:ind w:left="840" w:leftChars="400"/>
    </w:pPr>
  </w:style>
  <w:style w:type="paragraph" w:styleId="13">
    <w:name w:val="toc 1"/>
    <w:basedOn w:val="1"/>
    <w:next w:val="1"/>
    <w:unhideWhenUsed/>
    <w:qFormat/>
    <w:uiPriority w:val="39"/>
  </w:style>
  <w:style w:type="paragraph" w:styleId="14">
    <w:name w:val="Subtitle"/>
    <w:basedOn w:val="1"/>
    <w:next w:val="1"/>
    <w:link w:val="35"/>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oc 2"/>
    <w:basedOn w:val="1"/>
    <w:next w:val="1"/>
    <w:unhideWhenUsed/>
    <w:uiPriority w:val="39"/>
    <w:pPr>
      <w:ind w:left="420" w:leftChars="200"/>
    </w:pPr>
  </w:style>
  <w:style w:type="paragraph" w:styleId="16">
    <w:name w:val="Title"/>
    <w:basedOn w:val="1"/>
    <w:next w:val="1"/>
    <w:link w:val="34"/>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8">
    <w:name w:val="Table Grid"/>
    <w:basedOn w:val="1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color w:val="auto"/>
    </w:rPr>
  </w:style>
  <w:style w:type="character" w:styleId="21">
    <w:name w:val="Emphasis"/>
    <w:basedOn w:val="19"/>
    <w:qFormat/>
    <w:uiPriority w:val="20"/>
    <w:rPr>
      <w:i/>
      <w:iCs/>
      <w:color w:val="auto"/>
    </w:rPr>
  </w:style>
  <w:style w:type="character" w:styleId="22">
    <w:name w:val="Hyperlink"/>
    <w:basedOn w:val="19"/>
    <w:unhideWhenUsed/>
    <w:uiPriority w:val="99"/>
    <w:rPr>
      <w:color w:val="0563C1" w:themeColor="hyperlink"/>
      <w:u w:val="single"/>
      <w14:textFill>
        <w14:solidFill>
          <w14:schemeClr w14:val="hlink"/>
        </w14:solidFill>
      </w14:textFill>
    </w:rPr>
  </w:style>
  <w:style w:type="paragraph" w:styleId="23">
    <w:name w:val="List Paragraph"/>
    <w:basedOn w:val="1"/>
    <w:qFormat/>
    <w:uiPriority w:val="34"/>
    <w:pPr>
      <w:ind w:firstLine="420" w:firstLineChars="200"/>
    </w:pPr>
  </w:style>
  <w:style w:type="character" w:customStyle="1" w:styleId="24">
    <w:name w:val="标题 1 字符"/>
    <w:basedOn w:val="19"/>
    <w:link w:val="2"/>
    <w:uiPriority w:val="9"/>
    <w:rPr>
      <w:rFonts w:asciiTheme="majorHAnsi" w:hAnsiTheme="majorHAnsi" w:eastAsiaTheme="majorEastAsia" w:cstheme="majorBidi"/>
      <w:color w:val="2F5597" w:themeColor="accent1" w:themeShade="BF"/>
      <w:sz w:val="32"/>
      <w:szCs w:val="32"/>
    </w:rPr>
  </w:style>
  <w:style w:type="paragraph" w:customStyle="1" w:styleId="25">
    <w:name w:val="TOC Heading"/>
    <w:basedOn w:val="2"/>
    <w:next w:val="1"/>
    <w:unhideWhenUsed/>
    <w:qFormat/>
    <w:uiPriority w:val="39"/>
    <w:pPr>
      <w:outlineLvl w:val="9"/>
    </w:pPr>
  </w:style>
  <w:style w:type="character" w:customStyle="1" w:styleId="26">
    <w:name w:val="标题 2 字符"/>
    <w:basedOn w:val="19"/>
    <w:link w:val="3"/>
    <w:qFormat/>
    <w:uiPriority w:val="9"/>
    <w:rPr>
      <w:rFonts w:asciiTheme="majorHAnsi" w:hAnsiTheme="majorHAnsi" w:eastAsiaTheme="majorEastAsia" w:cstheme="majorBidi"/>
      <w:color w:val="2F5597" w:themeColor="accent1" w:themeShade="BF"/>
      <w:sz w:val="28"/>
      <w:szCs w:val="28"/>
    </w:rPr>
  </w:style>
  <w:style w:type="character" w:customStyle="1" w:styleId="27">
    <w:name w:val="标题 3 字符"/>
    <w:basedOn w:val="19"/>
    <w:link w:val="4"/>
    <w:qFormat/>
    <w:uiPriority w:val="9"/>
    <w:rPr>
      <w:rFonts w:asciiTheme="majorHAnsi" w:hAnsiTheme="majorHAnsi" w:eastAsiaTheme="majorEastAsia" w:cstheme="majorBidi"/>
      <w:color w:val="203864" w:themeColor="accent1" w:themeShade="80"/>
      <w:sz w:val="24"/>
      <w:szCs w:val="24"/>
    </w:rPr>
  </w:style>
  <w:style w:type="character" w:customStyle="1" w:styleId="28">
    <w:name w:val="标题 4 字符"/>
    <w:basedOn w:val="19"/>
    <w:link w:val="5"/>
    <w:semiHidden/>
    <w:uiPriority w:val="9"/>
    <w:rPr>
      <w:i/>
      <w:iCs/>
    </w:rPr>
  </w:style>
  <w:style w:type="character" w:customStyle="1" w:styleId="29">
    <w:name w:val="标题 5 字符"/>
    <w:basedOn w:val="19"/>
    <w:link w:val="6"/>
    <w:semiHidden/>
    <w:uiPriority w:val="9"/>
    <w:rPr>
      <w:color w:val="2F5597" w:themeColor="accent1" w:themeShade="BF"/>
    </w:rPr>
  </w:style>
  <w:style w:type="character" w:customStyle="1" w:styleId="30">
    <w:name w:val="标题 6 字符"/>
    <w:basedOn w:val="19"/>
    <w:link w:val="7"/>
    <w:semiHidden/>
    <w:uiPriority w:val="9"/>
    <w:rPr>
      <w:color w:val="203864" w:themeColor="accent1" w:themeShade="80"/>
    </w:rPr>
  </w:style>
  <w:style w:type="character" w:customStyle="1" w:styleId="31">
    <w:name w:val="标题 7 字符"/>
    <w:basedOn w:val="19"/>
    <w:link w:val="8"/>
    <w:semiHidden/>
    <w:qFormat/>
    <w:uiPriority w:val="9"/>
    <w:rPr>
      <w:rFonts w:asciiTheme="majorHAnsi" w:hAnsiTheme="majorHAnsi" w:eastAsiaTheme="majorEastAsia" w:cstheme="majorBidi"/>
      <w:i/>
      <w:iCs/>
      <w:color w:val="203864" w:themeColor="accent1" w:themeShade="80"/>
    </w:rPr>
  </w:style>
  <w:style w:type="character" w:customStyle="1" w:styleId="32">
    <w:name w:val="标题 8 字符"/>
    <w:basedOn w:val="19"/>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3">
    <w:name w:val="标题 9 字符"/>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4">
    <w:name w:val="标题 字符"/>
    <w:basedOn w:val="19"/>
    <w:link w:val="16"/>
    <w:uiPriority w:val="10"/>
    <w:rPr>
      <w:rFonts w:asciiTheme="majorHAnsi" w:hAnsiTheme="majorHAnsi" w:eastAsiaTheme="majorEastAsia" w:cstheme="majorBidi"/>
      <w:spacing w:val="-10"/>
      <w:sz w:val="56"/>
      <w:szCs w:val="56"/>
    </w:rPr>
  </w:style>
  <w:style w:type="character" w:customStyle="1" w:styleId="35">
    <w:name w:val="副标题 字符"/>
    <w:basedOn w:val="19"/>
    <w:link w:val="14"/>
    <w:uiPriority w:val="11"/>
    <w:rPr>
      <w:color w:val="595959" w:themeColor="text1" w:themeTint="A6"/>
      <w:spacing w:val="15"/>
      <w14:textFill>
        <w14:solidFill>
          <w14:schemeClr w14:val="tx1">
            <w14:lumMod w14:val="65000"/>
            <w14:lumOff w14:val="35000"/>
          </w14:schemeClr>
        </w14:solidFill>
      </w14:textFill>
    </w:rPr>
  </w:style>
  <w:style w:type="paragraph" w:styleId="36">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7">
    <w:name w:val="Quote"/>
    <w:basedOn w:val="1"/>
    <w:next w:val="1"/>
    <w:link w:val="38"/>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8">
    <w:name w:val="引用 字符"/>
    <w:basedOn w:val="19"/>
    <w:link w:val="37"/>
    <w:uiPriority w:val="29"/>
    <w:rPr>
      <w:i/>
      <w:iCs/>
      <w:color w:val="404040" w:themeColor="text1" w:themeTint="BF"/>
      <w14:textFill>
        <w14:solidFill>
          <w14:schemeClr w14:val="tx1">
            <w14:lumMod w14:val="75000"/>
            <w14:lumOff w14:val="25000"/>
          </w14:schemeClr>
        </w14:solidFill>
      </w14:textFill>
    </w:rPr>
  </w:style>
  <w:style w:type="paragraph" w:styleId="39">
    <w:name w:val="Intense Quote"/>
    <w:basedOn w:val="1"/>
    <w:next w:val="1"/>
    <w:link w:val="4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0">
    <w:name w:val="明显引用 字符"/>
    <w:basedOn w:val="19"/>
    <w:link w:val="39"/>
    <w:uiPriority w:val="30"/>
    <w:rPr>
      <w:i/>
      <w:iCs/>
      <w:color w:val="4472C4" w:themeColor="accent1"/>
      <w14:textFill>
        <w14:solidFill>
          <w14:schemeClr w14:val="accent1"/>
        </w14:solidFill>
      </w14:textFill>
    </w:rPr>
  </w:style>
  <w:style w:type="character" w:customStyle="1" w:styleId="41">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19"/>
    <w:qFormat/>
    <w:uiPriority w:val="21"/>
    <w:rPr>
      <w:i/>
      <w:iCs/>
      <w:color w:val="4472C4" w:themeColor="accent1"/>
      <w14:textFill>
        <w14:solidFill>
          <w14:schemeClr w14:val="accent1"/>
        </w14:solidFill>
      </w14:textFill>
    </w:rPr>
  </w:style>
  <w:style w:type="character" w:customStyle="1" w:styleId="43">
    <w:name w:val="Subtle Reference"/>
    <w:basedOn w:val="19"/>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4">
    <w:name w:val="Intense Reference"/>
    <w:basedOn w:val="19"/>
    <w:qFormat/>
    <w:uiPriority w:val="32"/>
    <w:rPr>
      <w:b/>
      <w:bCs/>
      <w:smallCaps/>
      <w:color w:val="4472C4" w:themeColor="accent1"/>
      <w:spacing w:val="5"/>
      <w14:textFill>
        <w14:solidFill>
          <w14:schemeClr w14:val="accent1"/>
        </w14:solidFill>
      </w14:textFill>
    </w:rPr>
  </w:style>
  <w:style w:type="character" w:customStyle="1" w:styleId="45">
    <w:name w:val="Book Title"/>
    <w:basedOn w:val="19"/>
    <w:qFormat/>
    <w:uiPriority w:val="33"/>
    <w:rPr>
      <w:b/>
      <w:bCs/>
      <w:i/>
      <w:iCs/>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6832A-DC98-48C2-91CD-D03CD22B133E}">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317</Words>
  <Characters>1810</Characters>
  <Lines>15</Lines>
  <Paragraphs>4</Paragraphs>
  <TotalTime>3</TotalTime>
  <ScaleCrop>false</ScaleCrop>
  <LinksUpToDate>false</LinksUpToDate>
  <CharactersWithSpaces>2123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2021-02-05T11:48:00Z</dcterms:created>
  <dc:creator>郑 云</dc:creator>
  <cp:lastModifiedBy>ASUS</cp:lastModifiedBy>
  <dcterms:modified xsi:type="dcterms:W3CDTF">2021-02-08T04:44:55Z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