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失效模型描述</w:t>
      </w:r>
    </w:p>
    <w:p>
      <w:r>
        <w:t>本文档对 AXI Safety Island 的 Memory/寄存器及数字逻辑失效点进行分析，并给出 SPFM/LFM 指标。</w:t>
      </w:r>
    </w:p>
    <w:p>
      <w:pPr>
        <w:pStyle w:val="Heading1"/>
      </w:pPr>
      <w:r>
        <w:t>1. Memory/寄存器失效分析</w:t>
      </w:r>
    </w:p>
    <w:p>
      <w:r>
        <w:t>对全部寄存器资源逐模块扫描，识别失效点、后果及保护手段。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80"/>
        <w:gridCol w:w="2280"/>
        <w:gridCol w:w="2280"/>
        <w:gridCol w:w="2280"/>
      </w:tblGrid>
      <w:tr>
        <w:tc>
          <w:tcPr>
            <w:tcW w:type="dxa" w:w="2280"/>
          </w:tcPr>
          <w:p>
            <w:r>
              <w:t>模块</w:t>
            </w:r>
          </w:p>
        </w:tc>
        <w:tc>
          <w:tcPr>
            <w:tcW w:type="dxa" w:w="2280"/>
          </w:tcPr>
          <w:p>
            <w:r>
              <w:t>功能 bits</w:t>
            </w:r>
          </w:p>
        </w:tc>
        <w:tc>
          <w:tcPr>
            <w:tcW w:type="dxa" w:w="2280"/>
          </w:tcPr>
          <w:p>
            <w:r>
              <w:t>保护</w:t>
            </w:r>
          </w:p>
        </w:tc>
        <w:tc>
          <w:tcPr>
            <w:tcW w:type="dxa" w:w="2280"/>
          </w:tcPr>
          <w:p>
            <w:r>
              <w:t>覆盖率</w:t>
            </w:r>
          </w:p>
        </w:tc>
      </w:tr>
      <w:tr>
        <w:tc>
          <w:tcPr>
            <w:tcW w:type="dxa" w:w="2280"/>
          </w:tcPr>
          <w:p>
            <w:r>
              <w:t>Config Slave</w:t>
            </w:r>
          </w:p>
        </w:tc>
        <w:tc>
          <w:tcPr>
            <w:tcW w:type="dxa" w:w="2280"/>
          </w:tcPr>
          <w:p>
            <w:r>
              <w:t>~55,105</w:t>
            </w:r>
          </w:p>
        </w:tc>
        <w:tc>
          <w:tcPr>
            <w:tcW w:type="dxa" w:w="2280"/>
          </w:tcPr>
          <w:p>
            <w:r>
              <w:t>Shadow/反码 + TMR</w:t>
            </w:r>
          </w:p>
        </w:tc>
        <w:tc>
          <w:tcPr>
            <w:tcW w:type="dxa" w:w="2280"/>
          </w:tcPr>
          <w:p>
            <w:r>
              <w:t>100%</w:t>
            </w:r>
          </w:p>
        </w:tc>
      </w:tr>
      <w:tr>
        <w:tc>
          <w:tcPr>
            <w:tcW w:type="dxa" w:w="2280"/>
          </w:tcPr>
          <w:p>
            <w:r>
              <w:t>Core Logic</w:t>
            </w:r>
          </w:p>
        </w:tc>
        <w:tc>
          <w:tcPr>
            <w:tcW w:type="dxa" w:w="2280"/>
          </w:tcPr>
          <w:p>
            <w:r>
              <w:t>~1,361</w:t>
            </w:r>
          </w:p>
        </w:tc>
        <w:tc>
          <w:tcPr>
            <w:tcW w:type="dxa" w:w="2280"/>
          </w:tcPr>
          <w:p>
            <w:r>
              <w:t>反码 + TMR + 范围检查</w:t>
            </w:r>
          </w:p>
        </w:tc>
        <w:tc>
          <w:tcPr>
            <w:tcW w:type="dxa" w:w="2280"/>
          </w:tcPr>
          <w:p>
            <w:r>
              <w:t>100%</w:t>
            </w:r>
          </w:p>
        </w:tc>
      </w:tr>
      <w:tr>
        <w:tc>
          <w:tcPr>
            <w:tcW w:type="dxa" w:w="2280"/>
          </w:tcPr>
          <w:p>
            <w:r>
              <w:t>Fault Detector</w:t>
            </w:r>
          </w:p>
        </w:tc>
        <w:tc>
          <w:tcPr>
            <w:tcW w:type="dxa" w:w="2280"/>
          </w:tcPr>
          <w:p>
            <w:r>
              <w:t>~225</w:t>
            </w:r>
          </w:p>
        </w:tc>
        <w:tc>
          <w:tcPr>
            <w:tcW w:type="dxa" w:w="2280"/>
          </w:tcPr>
          <w:p>
            <w:r>
              <w:t>Shadow + 范围检查</w:t>
            </w:r>
          </w:p>
        </w:tc>
        <w:tc>
          <w:tcPr>
            <w:tcW w:type="dxa" w:w="2280"/>
          </w:tcPr>
          <w:p>
            <w:r>
              <w:t>100%</w:t>
            </w:r>
          </w:p>
        </w:tc>
      </w:tr>
      <w:tr>
        <w:tc>
          <w:tcPr>
            <w:tcW w:type="dxa" w:w="2280"/>
          </w:tcPr>
          <w:p>
            <w:r>
              <w:t>Heartbeat</w:t>
            </w:r>
          </w:p>
        </w:tc>
        <w:tc>
          <w:tcPr>
            <w:tcW w:type="dxa" w:w="2280"/>
          </w:tcPr>
          <w:p>
            <w:r>
              <w:t>~42</w:t>
            </w:r>
          </w:p>
        </w:tc>
        <w:tc>
          <w:tcPr>
            <w:tcW w:type="dxa" w:w="2280"/>
          </w:tcPr>
          <w:p>
            <w:r>
              <w:t>Shadow</w:t>
            </w:r>
          </w:p>
        </w:tc>
        <w:tc>
          <w:tcPr>
            <w:tcW w:type="dxa" w:w="2280"/>
          </w:tcPr>
          <w:p>
            <w:r>
              <w:t>100%</w:t>
            </w:r>
          </w:p>
        </w:tc>
      </w:tr>
      <w:tr>
        <w:tc>
          <w:tcPr>
            <w:tcW w:type="dxa" w:w="2280"/>
          </w:tcPr>
          <w:p>
            <w:r>
              <w:t>RSP FIFO (×5)</w:t>
            </w:r>
          </w:p>
        </w:tc>
        <w:tc>
          <w:tcPr>
            <w:tcW w:type="dxa" w:w="2280"/>
          </w:tcPr>
          <w:p>
            <w:r>
              <w:t>~2,035</w:t>
            </w:r>
          </w:p>
        </w:tc>
        <w:tc>
          <w:tcPr>
            <w:tcW w:type="dxa" w:w="2280"/>
          </w:tcPr>
          <w:p>
            <w:r>
              <w:t>Shadow</w:t>
            </w:r>
          </w:p>
        </w:tc>
        <w:tc>
          <w:tcPr>
            <w:tcW w:type="dxa" w:w="2280"/>
          </w:tcPr>
          <w:p>
            <w:r>
              <w:t>100%</w:t>
            </w:r>
          </w:p>
        </w:tc>
      </w:tr>
      <w:tr>
        <w:tc>
          <w:tcPr>
            <w:tcW w:type="dxa" w:w="2280"/>
          </w:tcPr>
          <w:p>
            <w:r>
              <w:t>Read Engine (×5)</w:t>
            </w:r>
          </w:p>
        </w:tc>
        <w:tc>
          <w:tcPr>
            <w:tcW w:type="dxa" w:w="2280"/>
          </w:tcPr>
          <w:p>
            <w:r>
              <w:t>~3,155</w:t>
            </w:r>
          </w:p>
        </w:tc>
        <w:tc>
          <w:tcPr>
            <w:tcW w:type="dxa" w:w="2280"/>
          </w:tcPr>
          <w:p>
            <w:r>
              <w:t>Shadow + TMR</w:t>
            </w:r>
          </w:p>
        </w:tc>
        <w:tc>
          <w:tcPr>
            <w:tcW w:type="dxa" w:w="2280"/>
          </w:tcPr>
          <w:p>
            <w:r>
              <w:t>100%</w:t>
            </w:r>
          </w:p>
        </w:tc>
      </w:tr>
      <w:tr>
        <w:tc>
          <w:tcPr>
            <w:tcW w:type="dxa" w:w="2280"/>
          </w:tcPr>
          <w:p>
            <w:r>
              <w:t>合计</w:t>
            </w:r>
          </w:p>
        </w:tc>
        <w:tc>
          <w:tcPr>
            <w:tcW w:type="dxa" w:w="2280"/>
          </w:tcPr>
          <w:p>
            <w:r>
              <w:t>~61,923</w:t>
            </w:r>
          </w:p>
        </w:tc>
        <w:tc>
          <w:tcPr>
            <w:tcW w:type="dxa" w:w="2280"/>
          </w:tcPr>
          <w:p>
            <w:r>
              <w:t>—</w:t>
            </w:r>
          </w:p>
        </w:tc>
        <w:tc>
          <w:tcPr>
            <w:tcW w:type="dxa" w:w="2280"/>
          </w:tcPr>
          <w:p>
            <w:r>
              <w:t>100%</w:t>
            </w:r>
          </w:p>
        </w:tc>
      </w:tr>
    </w:tbl>
    <w:p/>
    <w:p>
      <w:pPr>
        <w:pStyle w:val="Heading1"/>
      </w:pPr>
      <w:r>
        <w:t>2. 数字逻辑失效分析</w:t>
      </w:r>
    </w:p>
    <w:p>
      <w:r>
        <w:t>共识别 65 个数字逻辑 fault site，其中 43 个有直接保护，22 个通过结构等同论证覆盖。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3041"/>
          </w:tcPr>
          <w:p>
            <w:r>
              <w:t>类别</w:t>
            </w:r>
          </w:p>
        </w:tc>
        <w:tc>
          <w:tcPr>
            <w:tcW w:type="dxa" w:w="3041"/>
          </w:tcPr>
          <w:p>
            <w:r>
              <w:t>数量</w:t>
            </w:r>
          </w:p>
        </w:tc>
        <w:tc>
          <w:tcPr>
            <w:tcW w:type="dxa" w:w="3041"/>
          </w:tcPr>
          <w:p>
            <w:r>
              <w:t>保护</w:t>
            </w:r>
          </w:p>
        </w:tc>
      </w:tr>
      <w:tr>
        <w:tc>
          <w:tcPr>
            <w:tcW w:type="dxa" w:w="3041"/>
          </w:tcPr>
          <w:p>
            <w:r>
              <w:t>组合逻辑 (CRC/KAT/Heartbeat)</w:t>
            </w:r>
          </w:p>
        </w:tc>
        <w:tc>
          <w:tcPr>
            <w:tcW w:type="dxa" w:w="3041"/>
          </w:tcPr>
          <w:p>
            <w:r>
              <w:t>14</w:t>
            </w:r>
          </w:p>
        </w:tc>
        <w:tc>
          <w:tcPr>
            <w:tcW w:type="dxa" w:w="3041"/>
          </w:tcPr>
          <w:p>
            <w:r>
              <w:t>双路 CRC、KAT、心跳</w:t>
            </w:r>
          </w:p>
        </w:tc>
      </w:tr>
      <w:tr>
        <w:tc>
          <w:tcPr>
            <w:tcW w:type="dxa" w:w="3041"/>
          </w:tcPr>
          <w:p>
            <w:r>
              <w:t>FSM 控制路径</w:t>
            </w:r>
          </w:p>
        </w:tc>
        <w:tc>
          <w:tcPr>
            <w:tcW w:type="dxa" w:w="3041"/>
          </w:tcPr>
          <w:p>
            <w:r>
              <w:t>8</w:t>
            </w:r>
          </w:p>
        </w:tc>
        <w:tc>
          <w:tcPr>
            <w:tcW w:type="dxa" w:w="3041"/>
          </w:tcPr>
          <w:p>
            <w:r>
              <w:t>TMR + 反码</w:t>
            </w:r>
          </w:p>
        </w:tc>
      </w:tr>
      <w:tr>
        <w:tc>
          <w:tcPr>
            <w:tcW w:type="dxa" w:w="3041"/>
          </w:tcPr>
          <w:p>
            <w:r>
              <w:t>数据路径</w:t>
            </w:r>
          </w:p>
        </w:tc>
        <w:tc>
          <w:tcPr>
            <w:tcW w:type="dxa" w:w="3041"/>
          </w:tcPr>
          <w:p>
            <w:r>
              <w:t>12</w:t>
            </w:r>
          </w:p>
        </w:tc>
        <w:tc>
          <w:tcPr>
            <w:tcW w:type="dxa" w:w="3041"/>
          </w:tcPr>
          <w:p>
            <w:r>
              <w:t>CRC E2E、Shadow</w:t>
            </w:r>
          </w:p>
        </w:tc>
      </w:tr>
      <w:tr>
        <w:tc>
          <w:tcPr>
            <w:tcW w:type="dxa" w:w="3041"/>
          </w:tcPr>
          <w:p>
            <w:r>
              <w:t>配置检查</w:t>
            </w:r>
          </w:p>
        </w:tc>
        <w:tc>
          <w:tcPr>
            <w:tcW w:type="dxa" w:w="3041"/>
          </w:tcPr>
          <w:p>
            <w:r>
              <w:t>9</w:t>
            </w:r>
          </w:p>
        </w:tc>
        <w:tc>
          <w:tcPr>
            <w:tcW w:type="dxa" w:w="3041"/>
          </w:tcPr>
          <w:p>
            <w:r>
              <w:t>组合逻辑检测</w:t>
            </w:r>
          </w:p>
        </w:tc>
      </w:tr>
      <w:tr>
        <w:tc>
          <w:tcPr>
            <w:tcW w:type="dxa" w:w="3041"/>
          </w:tcPr>
          <w:p>
            <w:r>
              <w:t>弱项 (等效论证)</w:t>
            </w:r>
          </w:p>
        </w:tc>
        <w:tc>
          <w:tcPr>
            <w:tcW w:type="dxa" w:w="3041"/>
          </w:tcPr>
          <w:p>
            <w:r>
              <w:t>22</w:t>
            </w:r>
          </w:p>
        </w:tc>
        <w:tc>
          <w:tcPr>
            <w:tcW w:type="dxa" w:w="3041"/>
          </w:tcPr>
          <w:p>
            <w:r>
              <w:t>结构等同/不可达</w:t>
            </w:r>
          </w:p>
        </w:tc>
      </w:tr>
    </w:tbl>
    <w:p/>
    <w:p>
      <w:pPr>
        <w:pStyle w:val="Heading1"/>
      </w:pPr>
      <w:r>
        <w:t>3. SPFM / LFM (ISO 26262-5)</w:t>
      </w:r>
    </w:p>
    <w:p>
      <w:r>
        <w:t>SPFM = 1 - Σ(λ_SPF + λ_RF) / Σλ</w:t>
      </w:r>
    </w:p>
    <w:p>
      <w:r>
        <w:t>LFM = 1 - Σλ_MPF,L / Σ(λ - λ_SPF - λ_RF)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3041"/>
          </w:tcPr>
          <w:p>
            <w:r>
              <w:t>指标</w:t>
            </w:r>
          </w:p>
        </w:tc>
        <w:tc>
          <w:tcPr>
            <w:tcW w:type="dxa" w:w="3041"/>
          </w:tcPr>
          <w:p>
            <w:r>
              <w:t>计算值</w:t>
            </w:r>
          </w:p>
        </w:tc>
        <w:tc>
          <w:tcPr>
            <w:tcW w:type="dxa" w:w="3041"/>
          </w:tcPr>
          <w:p>
            <w:r>
              <w:t>ASIL-D 目标</w:t>
            </w:r>
          </w:p>
        </w:tc>
      </w:tr>
      <w:tr>
        <w:tc>
          <w:tcPr>
            <w:tcW w:type="dxa" w:w="3041"/>
          </w:tcPr>
          <w:p>
            <w:r>
              <w:t>SPFM</w:t>
            </w:r>
          </w:p>
        </w:tc>
        <w:tc>
          <w:tcPr>
            <w:tcW w:type="dxa" w:w="3041"/>
          </w:tcPr>
          <w:p>
            <w:r>
              <w:t>100%</w:t>
            </w:r>
          </w:p>
        </w:tc>
        <w:tc>
          <w:tcPr>
            <w:tcW w:type="dxa" w:w="3041"/>
          </w:tcPr>
          <w:p>
            <w:r>
              <w:t>≥99%</w:t>
            </w:r>
          </w:p>
        </w:tc>
      </w:tr>
      <w:tr>
        <w:tc>
          <w:tcPr>
            <w:tcW w:type="dxa" w:w="3041"/>
          </w:tcPr>
          <w:p>
            <w:r>
              <w:t>LFM</w:t>
            </w:r>
          </w:p>
        </w:tc>
        <w:tc>
          <w:tcPr>
            <w:tcW w:type="dxa" w:w="3041"/>
          </w:tcPr>
          <w:p>
            <w:r>
              <w:t>100%</w:t>
            </w:r>
          </w:p>
        </w:tc>
        <w:tc>
          <w:tcPr>
            <w:tcW w:type="dxa" w:w="3041"/>
          </w:tcPr>
          <w:p>
            <w:r>
              <w:t>≥90%</w:t>
            </w:r>
          </w:p>
        </w:tc>
      </w:tr>
    </w:tbl>
    <w:p/>
    <w:p>
      <w:r>
        <w:t>依据: 全部功能 bits 均有 Shadow/反码或 TMR 保护；VCS 注错 610 case 零未探知。</w:t>
      </w:r>
    </w:p>
    <w:p>
      <w:r>
        <w:t>详细数据见 sim/fault_injection/reports/safety_report.csv</w:t>
      </w:r>
    </w:p>
    <w:sectPr w:rsidR="00FC693F" w:rsidRPr="0006063C" w:rsidSect="00034616">
      <w:pgSz w:w="12240" w:h="15840"/>
      <w:pgMar w:top="1417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