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제약 규제 과학 자산 상세 인벤토리 보고서</w:t>
      </w:r>
    </w:p>
    <w:p>
      <w:r>
        <w:t>작성일: 2026년 05월 12일</w:t>
        <w:br/>
        <w:t>작성자: Antigravity AI Assistant</w:t>
      </w:r>
    </w:p>
    <w:p>
      <w:r>
        <w:br w:type="page"/>
      </w:r>
    </w:p>
    <w:p>
      <w:pPr>
        <w:pStyle w:val="Heading1"/>
      </w:pPr>
      <w:r>
        <w:t>1. 개요 (Executive Summary)</w:t>
      </w:r>
    </w:p>
    <w:p>
      <w:r>
        <w:t>본 보고서는 사용자님의 로컬 시스템 내 산재된 제약 관련 전문 문서를 온톨로지(Ontology)적 관점에서 재분류하고 상세 내용을 정리한 것입니다. 확인된 자산은 크게 식약처 대응(RA), 품질 및 시험법(CMC), 독성 평가(Safety), 글로벌 인허가 전략의 4가지 핵심 도메인으로 구분됩니다.</w:t>
      </w:r>
    </w:p>
    <w:p>
      <w:pPr>
        <w:pStyle w:val="Heading1"/>
      </w:pPr>
      <w:r>
        <w:t>2. 규제 대응 및 품목 허가 (RA Domain)</w:t>
      </w:r>
    </w:p>
    <w:p>
      <w:pPr>
        <w:pStyle w:val="Heading2"/>
      </w:pPr>
      <w:r>
        <w:t>2.1. 엑시글루엠서방정 식약처보완답변서</w:t>
      </w:r>
    </w:p>
    <w:p>
      <w:r>
        <w:t>• 상세 내용: 서방성 제제의 용출 양상 및 유연물질 관리에 대한 식약처 지적 사항에 대한 논리적 방어 자료.</w:t>
        <w:br/>
        <w:t>• 세부 목차:</w:t>
        <w:br/>
        <w:t xml:space="preserve">  1) 보완 요구 사항 개요</w:t>
        <w:br/>
        <w:t xml:space="preserve">  2) 용출 시험 결과 및 타당성 (Dissolution Profile)</w:t>
        <w:br/>
        <w:t xml:space="preserve">  3) 유연물질 관리 기준 및 분석 데이터 (Impurity Control)</w:t>
        <w:br/>
        <w:t xml:space="preserve">  4) 분석법 밸리데이션(MV) 보완 결과</w:t>
        <w:br/>
        <w:t xml:space="preserve">  5) 결론 및 향후 관리 계획</w:t>
      </w:r>
    </w:p>
    <w:p>
      <w:pPr>
        <w:pStyle w:val="Heading2"/>
      </w:pPr>
      <w:r>
        <w:t>2.2. 미뉴린정(2함량) 기시 2차 보완시행문</w:t>
      </w:r>
    </w:p>
    <w:p>
      <w:r>
        <w:t>• 상세 내용: 데스모프레신 제제의 기준 및 시험방법(기시법)에 대한 식약처의 2차 보완 요구 사항.</w:t>
        <w:br/>
        <w:t>• 세부 목차:</w:t>
        <w:br/>
        <w:t xml:space="preserve">  1) 1차 보완 답변에 대한 식약처 추가 검토 의견</w:t>
        <w:br/>
        <w:t xml:space="preserve">  2) 원료 및 완제의 안정성 시험(Stability) 데이터 요구</w:t>
        <w:br/>
        <w:t xml:space="preserve">  3) 유연물질 규격 설정 근거 재검토</w:t>
        <w:br/>
        <w:t xml:space="preserve">  4) 최종 허가 예정일 및 행정 사항</w:t>
      </w:r>
    </w:p>
    <w:p>
      <w:pPr>
        <w:pStyle w:val="Heading1"/>
      </w:pPr>
      <w:r>
        <w:t>3. 비임상 독성 및 안전성 (Safety Domain)</w:t>
      </w:r>
    </w:p>
    <w:p>
      <w:pPr>
        <w:pStyle w:val="Heading2"/>
      </w:pPr>
      <w:r>
        <w:t>3.1. Naltrexone ER 주사제 AI 독성 CTD 리포트</w:t>
      </w:r>
    </w:p>
    <w:p>
      <w:r>
        <w:t>• 상세 내용: ICH M7 가이드라인에 따른 AI 기반 유전독성 예측 및 CTD 보고서.</w:t>
        <w:br/>
        <w:t>• 세부 목차:</w:t>
        <w:br/>
        <w:t xml:space="preserve">  1) Introduction (약물 개요 및 투여 경로)</w:t>
        <w:br/>
        <w:t xml:space="preserve">  2) In Silico Methodology (QSAR 모델 및 알고리즘 설명)</w:t>
        <w:br/>
        <w:t xml:space="preserve">  3) Structural Alert Analysis (독성 발현 구조 분석)</w:t>
        <w:br/>
        <w:t xml:space="preserve">  4) ICH M7 Classification (불순물 분류 1-5단계)</w:t>
        <w:br/>
        <w:t xml:space="preserve">  5) Expert Review &amp; Conclusion (전문가 검토 및 결론)</w:t>
      </w:r>
    </w:p>
    <w:p>
      <w:pPr>
        <w:pStyle w:val="Heading1"/>
      </w:pPr>
      <w:r>
        <w:t>4. 품질 및 기술문서 (CMC Domain)</w:t>
      </w:r>
    </w:p>
    <w:p>
      <w:pPr>
        <w:pStyle w:val="Heading2"/>
      </w:pPr>
      <w:r>
        <w:t>4.1. CKD-830 기준 및 시험방법 (Specification)</w:t>
      </w:r>
    </w:p>
    <w:p>
      <w:r>
        <w:t>• 상세 내용: 개발 중인 신약/개량신약의 품질 규격 설정 근거 자료.</w:t>
        <w:br/>
        <w:t>• 세부 목차:</w:t>
        <w:br/>
        <w:t xml:space="preserve">  1) Drug Substance (원료의약품) 성상 및 확인 시험</w:t>
        <w:br/>
        <w:t xml:space="preserve">  2) 순도 시험 (유연물질, 잔류용매)</w:t>
        <w:br/>
        <w:t xml:space="preserve">  3) 함량 시험 및 분석법 설명</w:t>
        <w:br/>
        <w:t xml:space="preserve">  4) Drug Product (완제의약품) 제제 특성 분석</w:t>
      </w:r>
    </w:p>
    <w:p>
      <w:pPr>
        <w:pStyle w:val="Heading2"/>
      </w:pPr>
      <w:r>
        <w:t>4.2. 속청케어액/큐액 시험방법 밸리데이션(MV) 보고서</w:t>
      </w:r>
    </w:p>
    <w:p>
      <w:r>
        <w:t>• 상세 내용: 액제 제형의 분석법 타당성을 입증한 실험 데이터.</w:t>
        <w:br/>
        <w:t>• 세부 목차:</w:t>
        <w:br/>
        <w:t xml:space="preserve">  1) 특이성 (Specificity)</w:t>
        <w:br/>
        <w:t xml:space="preserve">  2) 직선성 (Linearity) 및 범위</w:t>
        <w:br/>
        <w:t xml:space="preserve">  3) 정확성 (Accuracy) 및 정밀성 (Precision)</w:t>
        <w:br/>
        <w:t xml:space="preserve">  4) 검출한계(LOD) 및 정량한계(LOQ)</w:t>
      </w:r>
    </w:p>
    <w:p>
      <w:pPr>
        <w:pStyle w:val="Heading1"/>
      </w:pPr>
      <w:r>
        <w:t>5. 글로벌 인허가 및 전략 (Strategy Domain)</w:t>
      </w:r>
    </w:p>
    <w:p>
      <w:r>
        <w:t>• 미국 FDA 의료기기/의약품 허가 제도 요약</w:t>
        <w:br/>
        <w:t>• Merck 및 종근당(CKD) 파이프라인 분석 보고서</w:t>
        <w:br/>
        <w:t>• 국내외 허가 제도 비교 및 대응 시나리오</w:t>
      </w:r>
    </w:p>
    <w:p>
      <w:r>
        <w:br/>
        <w:t>[보고서 종료]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