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36"/>
        </w:rPr>
        <w:t>紫金矿业沙特阿拉伯矿业活动深度调研报告</w:t>
      </w:r>
    </w:p>
    <w:p>
      <w:pPr>
        <w:jc w:val="center"/>
      </w:pPr>
      <w:r>
        <w:rPr>
          <w:rFonts w:ascii="Times New Roman" w:hAnsi="Times New Roman" w:eastAsia="宋体"/>
          <w:sz w:val="22"/>
        </w:rPr>
        <w:t>调研日期：2026年5月20日  |  报告性质：内部参考</w:t>
      </w:r>
    </w:p>
    <w:p/>
    <w:p>
      <w:pPr>
        <w:pStyle w:val="Heading1"/>
        <w:jc w:val="left"/>
      </w:pPr>
      <w:r>
        <w:rPr>
          <w:rFonts w:ascii="Arial" w:hAnsi="Arial" w:eastAsia="黑体"/>
          <w:sz w:val="28"/>
        </w:rPr>
        <w:t>执行摘要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紫金矿业集团股份有限公司（以下简称"紫金矿业"）正以两条并行主线深度布局沙特阿拉伯矿业市场：其一，于2025年3月与沙特本地企业Ajlan &amp; Bros Mining组成联合体，获得Jabal Sayid矿带第2号勘探许可证，承诺投资6,200万沙特里亚尔（约1,650万美元），计划完成51,000米钻探；其二，于2024年11月世界投资大会期间承诺投资50-60亿沙特里亚尔（约13-16亿美元），分三期建设锌冶炼、碳酸锂提取及铜精炼设施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上述布局契合沙特Vision 2030矿业战略，也是紫金矿业实现2028年铜产量150万吨/年、金产量320万盎司/年目标的重要组成部分。沙特是紫金矿业在中东地区的首个重大战略落子，具有示范意义。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主要风险包括：地缘政治不确定性、VMS矿床勘探成功率偏低、冶炼项目建设周期长、沙特本地化要求（Saudization）带来的运营成本压力，以及与Vedanta、Barrick等国际巨头的竞争。</w:t>
      </w:r>
    </w:p>
    <w:p>
      <w:pPr>
        <w:pStyle w:val="Heading1"/>
        <w:jc w:val="left"/>
      </w:pPr>
      <w:r>
        <w:rPr>
          <w:rFonts w:ascii="Arial" w:hAnsi="Arial" w:eastAsia="黑体"/>
          <w:sz w:val="28"/>
        </w:rPr>
        <w:t>一、调研背景与目的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1.1 调研背景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沙特阿拉伯依托Vision 2030战略，正将矿业打造为石油之外的第二经济支柱。2024年，沙特将全国矿产资源估值从1.3万亿美元上调至2.5万亿美元，并于同年4月启动勘探激励计划（EEP），提供6.85亿里亚尔补贴，资助最高25%的勘探成本。2025年，沙特矿业许可证数量同比增长220%，勘探支出增长110%，吸引了全球主要矿业公司竞相进入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紫金矿业作为中国最大的黄金生产商和重要的铜、锌生产商，近年来持续加速全球化布局。沙特市场的战略价值在于：一是阿拉伯地盾（Arabian Shield）具有世界级的VMS型铜锌矿床成矿潜力；二是沙特政府主动招商引资，政策环境友好；三是沙特地处中东枢纽，有利于辐射非洲和欧洲市场。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1.2 调研目的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本报告旨在系统梳理紫金矿业在沙特的两条业务主线（勘探+冶炼），分析其战略意图、竞争格局及主要风险，为公司研判紫金矿业沙特战略提供参考依据。</w:t>
      </w:r>
    </w:p>
    <w:p>
      <w:pPr>
        <w:pStyle w:val="Heading1"/>
        <w:jc w:val="left"/>
      </w:pPr>
      <w:r>
        <w:rPr>
          <w:rFonts w:ascii="Arial" w:hAnsi="Arial" w:eastAsia="黑体"/>
          <w:sz w:val="28"/>
        </w:rPr>
        <w:t>二、紫金矿业在沙特的两条主线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2.1 主线一：勘探许可证（2025年3月）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2025年3月，紫金矿业与沙特本地公司Ajlan &amp; Bros Mining组成联合体，获得Jabal Sayid矿带第2号勘探许可证。该许可证覆盖Jabal Sayid矿带（总面积2,892平方公里）中的一个区块，目标矿种为铜、锌、铅、金、银（VMS型矿床组合）。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黑体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许可证编号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Jabal Sayid矿带第2号勘探许可证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联合体构成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紫金矿业 + Ajlan &amp; Bros Mining（沙特本地）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矿带总面积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2,892平方公里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目标矿种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铜（Cu）、锌（Zn）、铅（Pb）、金（Au）、银（Ag）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矿床类型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VMS（火山成因块状硫化物）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投资承诺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6,200万沙特里亚尔（约1,650万美元），3年内完成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钻探计划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51,000米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社区承诺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400万里亚尔用于道路基础设施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地理位置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麦地那省，Jeddah Terrane北部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2.2 主线二：冶炼/精炼投资协议（2024年11月）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2024年11月26日，在沙特世界投资大会（WIC）期间，沙特与多家国际公司签署总额超过93.2亿美元（350亿里亚尔）的9项金属矿业投资协议。紫金集团承诺投资50-60亿沙特里亚尔（约13-16亿美元），分三期建设冶炼精炼设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黑体"/>
                <w:b/>
                <w:sz w:val="20"/>
              </w:rPr>
              <w:t>期次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黑体"/>
                <w:b/>
                <w:sz w:val="20"/>
              </w:rPr>
              <w:t>设施类型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黑体"/>
                <w:b/>
                <w:sz w:val="20"/>
              </w:rPr>
              <w:t>产能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黑体"/>
                <w:b/>
                <w:sz w:val="20"/>
              </w:rPr>
              <w:t>战略意义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第一期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锌冶炼厂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年产10万吨锌锭 + 20万吨硫酸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消化本地及进口锌精矿，切入沙特工业链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第二期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碳酸锂提取设施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年产6万吨电池级碳酸锂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布局新能源电池材料，对接全球EV供应链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第三期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铜精炼厂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年产20万吨铜阴极 + 约5万吨电解铜箔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高附加值铜产品，服务沙特电气化需求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注：三期总投资50-60亿里亚尔（约13-16亿美元），具体分期投资额及时间表尚未公开披露。</w:t>
      </w:r>
    </w:p>
    <w:p>
      <w:pPr>
        <w:pStyle w:val="Heading1"/>
        <w:jc w:val="left"/>
      </w:pPr>
      <w:r>
        <w:rPr>
          <w:rFonts w:ascii="Arial" w:hAnsi="Arial" w:eastAsia="黑体"/>
          <w:sz w:val="28"/>
        </w:rPr>
        <w:t>三、目标矿种与地质背景分析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3.1 阿拉伯地盾（Arabian Shield）概况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阿拉伯地盾是沙特西部的前寒武纪结晶基底，面积约60万平方公里，是全球最具潜力的未充分勘探矿区之一。地盾由多个地体（Terrane）拼合而成，其中Jeddah Terrane、Asir Terrane等均具有重要的VMS成矿潜力。沙特政府估计全国矿产资源总价值达2.5万亿美元，其中Jabal Sayid矿带单一矿带估值即达1,920亿沙特里亚尔（约510亿美元）。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3.2 Jabal Sayid矿带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Jabal Sayid矿带位于麦地那省，是阿拉伯地盾中最重要的VMS矿带之一，具有悠久的采矿历史。现有Ma'aden-Barrick合营的Jabal Sayid铜金矿正在运营，证明了该矿带的工业价值。矿带内已发现多个VMS矿床，典型矿种组合为Cu-Zn-Pb-Au-Ag，与全球经典VMS矿床（如加拿大Kidd Creek、澳大利亚Mount Isa）具有可比性。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3.3 VMS矿床特征与勘探风险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VMS（火山成因块状硫化物）矿床是重要的多金属矿床类型，通常产于古代海底火山活动区域。其主要特征包括：矿体形态多为透镜状或层状，品位较高但规模差异大；矿种组合丰富（Cu-Zn-Pb-Au-Ag），综合回收价值高；勘探难度较大，深部矿体需依赖地球物理方法（VTEM、IP等）定位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需要指出的是，VMS矿床勘探成功率历史上约为10-20%，即使在已知矿带内，新矿体的发现也存在相当不确定性。紫金联合体承诺的51,000米钻探量属于中等规模，能否取得重大发现尚需观察。</w:t>
      </w:r>
    </w:p>
    <w:p>
      <w:pPr>
        <w:pStyle w:val="Heading1"/>
        <w:jc w:val="left"/>
      </w:pPr>
      <w:r>
        <w:rPr>
          <w:rFonts w:ascii="Arial" w:hAnsi="Arial" w:eastAsia="黑体"/>
          <w:sz w:val="28"/>
        </w:rPr>
        <w:t>四、运营模式与合作策略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4.1 本地化合作（Ajlan &amp; Bros Mining）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紫金矿业选择与沙特本地企业Ajlan &amp; Bros Mining组成联合体，体现了其在海外市场一贯的"本地化合作"策略。Ajlan &amp; Bros是沙特知名的多元化企业集团，在本地政商关系、土地获取、社区协调等方面具有优势。这种合作模式有助于降低政治风险，加快许可证审批，但也意味着利润分享和决策协调成本。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4.2 "勘探+冶炼"双轮驱动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紫金矿业在沙特同时推进上游勘探和中游冶炼，形成"双轮驱动"格局。这一策略的逻辑在于：即使勘探阶段未能发现大型矿床，冶炼设施也可通过进口精矿实现盈利；若勘探成功，则可实现从矿山到冶炼的垂直整合，大幅提升价值链控制力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4.3 碳酸锂布局的战略意义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第二期碳酸锂提取设施（年产6万吨电池级碳酸锂）是紫金矿业布局新能源材料的重要一步。沙特本身不产锂矿，原料需从智利、澳大利亚等地进口，但沙特具有廉价能源（天然气）和地理位置优势，可作为面向欧洲和亚洲的碳酸锂加工枢纽。这一布局与紫金矿业在西藏、阿根廷等地的锂矿资源形成潜在协同。</w:t>
      </w:r>
    </w:p>
    <w:p>
      <w:pPr>
        <w:pStyle w:val="Heading1"/>
        <w:jc w:val="left"/>
      </w:pPr>
      <w:r>
        <w:rPr>
          <w:rFonts w:ascii="Arial" w:hAnsi="Arial" w:eastAsia="黑体"/>
          <w:sz w:val="28"/>
        </w:rPr>
        <w:t>五、沙特矿业政策环境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5.1 Vision 2030矿业战略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沙特Vision 2030将矿业列为经济多元化的核心支柱，目标到2030年每年吸引1,000亿美元外资。矿业部（Ministry of Industry and Mineral Resources）主导推进矿业改革，包括简化许可证审批流程、提高透明度、建立矿产数据库等。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5.2 勘探激励计划（EEP）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2024年4月启动的勘探激励计划（Exploration Enablement Program, EEP）提供6.85亿里亚尔补贴，资助最高25%的勘探成本，显著降低了外资进入门槛。该计划是沙特吸引国际矿业公司的重要政策工具。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黑体"/>
                <w:b/>
                <w:sz w:val="20"/>
              </w:rPr>
              <w:t>政策指标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黑体"/>
                <w:b/>
                <w:sz w:val="20"/>
              </w:rPr>
              <w:t>数据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矿产资源总估值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2.5万亿美元（2024年上调）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EEP补贴规模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6.85亿沙特里亚尔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最高补贴比例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25%勘探成本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2025年许可证增长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同比+220%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2025年勘探支出增长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同比+110%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WIC 2024矿业协议总额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93.2亿美元（9项）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5.3 本地化要求（Saudization）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沙特政府要求外资矿业项目达到一定比例的本地雇员（Saudization），并优先采购本地供应商。这对外资企业的运营成本和管理复杂度构成一定压力，但也是获得政府支持和社区认可的必要条件。</w:t>
      </w:r>
    </w:p>
    <w:p>
      <w:pPr>
        <w:pStyle w:val="Heading1"/>
        <w:jc w:val="left"/>
      </w:pPr>
      <w:r>
        <w:rPr>
          <w:rFonts w:ascii="Arial" w:hAnsi="Arial" w:eastAsia="黑体"/>
          <w:sz w:val="28"/>
        </w:rPr>
        <w:t>六、竞争格局分析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紫金矿业在沙特面临来自全球主要矿业公司的竞争，尤其是在Jabal Sayid矿带，已有多家公司获得勘探许可证。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黑体"/>
                <w:b/>
                <w:sz w:val="20"/>
              </w:rPr>
              <w:t>公司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黑体"/>
                <w:b/>
                <w:sz w:val="20"/>
              </w:rPr>
              <w:t>国籍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黑体"/>
                <w:b/>
                <w:sz w:val="20"/>
              </w:rPr>
              <w:t>在沙特的主要布局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黑体"/>
                <w:b/>
                <w:sz w:val="20"/>
              </w:rPr>
              <w:t>与紫金的竞争关系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Vedanta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印度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Jabal Sayid第1号许可证；20亿美元铜冶炼协议（Ras Al-Khair）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直接竞争：同一矿带，同类冶炼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Barrick Gold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加拿大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与Ma'aden合营运营现有Jabal Sayid铜金矿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间接竞争：已占据核心矿区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Hastings Technology Metals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澳大利亚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稀土加工设施，56-72亿里亚尔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差异化：专注稀土，不直接竞争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Power Metallic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加拿大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Jabal Baudan勘探许可证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间接竞争：不同区块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Polyus + TransOceanic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俄罗斯/其他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Jabal Sayid第3号许可证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直接竞争：同一矿带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Ma'aden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沙特国家矿业公司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全面布局，是最重要的本地合作伙伴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合作为主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竞争格局评估：Jabal Sayid矿带已形成多家国际公司竞争态势，紫金矿业获得第2号许可证，处于第一梯队。Vedanta是最直接的竞争对手，其铜冶炼协议规模（20亿美元）与紫金相当，且已先行一步获得第1号许可证。Barrick-Ma'aden合营体占据现有矿山，具有先发优势。</w:t>
      </w:r>
    </w:p>
    <w:p>
      <w:pPr>
        <w:pStyle w:val="Heading1"/>
        <w:jc w:val="left"/>
      </w:pPr>
      <w:r>
        <w:rPr>
          <w:rFonts w:ascii="Arial" w:hAnsi="Arial" w:eastAsia="黑体"/>
          <w:sz w:val="28"/>
        </w:rPr>
        <w:t>七、战略意图研判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7.1 中东战略支点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沙特是紫金矿业在中东地区的首个重大战略落子。中东地区此前在紫金全球版图中几乎空白，沙特布局填补了这一缺口，并可作为辐射非洲东部（埃塞俄比亚、厄立特里亚等ANS延伸区域）的战略支点。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7.2 服务2028年产量目标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紫金矿业2028年目标为铜产量150万吨/年、金产量320万盎司/年。沙特冶炼项目（第三期铜精炼厂年产20万吨铜阴极）可直接贡献铜产量目标，约占2028年目标的13%。勘探项目若成功，则可在2030年后提供新的矿山产能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7.3 新能源材料布局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碳酸锂提取设施（年产6万吨）是紫金矿业新能源材料战略的重要组成部分。全球电动汽车需求持续增长，碳酸锂需求预计到2030年将超过200万吨/年，紫金在沙特的布局有助于其在全球锂供应链中占据一席之地。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7.4 政治经济考量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中沙两国近年来经贸关系持续深化，"一带一路"框架下的矿业合作具有政策背书。紫金矿业作为国有控股企业，其沙特布局也具有一定的国家战略意义，有助于保障中国关键矿产供应链安全。</w:t>
      </w:r>
    </w:p>
    <w:p>
      <w:pPr>
        <w:pStyle w:val="Heading1"/>
        <w:jc w:val="left"/>
      </w:pPr>
      <w:r>
        <w:rPr>
          <w:rFonts w:ascii="Arial" w:hAnsi="Arial" w:eastAsia="黑体"/>
          <w:sz w:val="28"/>
        </w:rPr>
        <w:t>八、风险与不确定因素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8.1 勘探风险（高）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VMS矿床勘探成功率历史上约为10-20%。即使在Jabal Sayid这样的已知矿带内，新矿体的发现也存在相当不确定性。51,000米的钻探计划需要3年完成，期间可能面临地质认识不足、钻探成本超支等问题。若勘探未能发现经济矿体，1,650万美元的投资将面临损失风险。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8.2 冶炼项目建设风险（中-高）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13-16亿美元的冶炼投资规模较大，建设周期通常为3-5年。沙特本地建设能力有限，大量设备和技术人员需从国外引进，可能面临工期延误和成本超支。此外，原料供应（锌精矿、锂矿石）需依赖进口，受全球大宗商品价格波动影响较大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8.3 地缘政治风险（中）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中东地区地缘政治局势复杂，也门胡塞武装、伊朗-沙特关系等因素存在不确定性。尽管沙特本身政治稳定，但区域冲突可能影响供应链和人员安全。此外，中美关系紧张可能对中国企业在沙特的投资产生间接影响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8.4 本地化合规风险（中）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Saudization要求、环保合规、社区关系等本地化要求可能增加运营成本。沙特劳动法规定外籍员工比例上限，可能限制紫金矿业引进中国技术人员的能力。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8.5 竞争风险（中）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Vedanta、Barrick等国际巨头在沙特已有先发优势，且具有更丰富的VMS矿床勘探经验。在冶炼领域，Vedanta的20亿美元铜冶炼协议与紫金形成直接竞争，可能影响原料采购和产品销售。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8.6 数据局限性说明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本报告所引用的投资金额、产能数据主要来源于公开新闻报道和官方声明，部分数据（如三期冶炼项目的具体分期投资额）尚未经过官方正式披露，存在一定不确定性。建议在决策前通过官方渠道核实关键数据。</w:t>
      </w:r>
    </w:p>
    <w:p>
      <w:pPr>
        <w:pStyle w:val="Heading1"/>
        <w:jc w:val="left"/>
      </w:pPr>
      <w:r>
        <w:rPr>
          <w:rFonts w:ascii="Arial" w:hAnsi="Arial" w:eastAsia="黑体"/>
          <w:sz w:val="28"/>
        </w:rPr>
        <w:t>九、结论与建议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9.1 核心结论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（1）紫金矿业沙特布局具有清晰的战略逻辑：以勘探许可证为上游资源储备，以冶炼精炼投资为中游价值锚点，形成"资源+加工"双轮驱动格局，服务其2028年产量目标和新能源材料战略。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（2）沙特矿业政策环境友好，Vision 2030提供了强有力的政策支撑，EEP补贴降低了勘探成本，是当前全球矿业投资的热点市场之一。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（3）竞争格局已趋于激烈，Jabal Sayid矿带已有Vedanta、Barrick-Ma'aden、Polyus等多家公司布局，紫金矿业需在勘探技术和冶炼效率上形成差异化优势。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（4）主要风险集中在勘探成功率不确定性、冶炼项目建设周期和成本控制，以及地缘政治不确定性三个维度。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9.2 建议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（1）持续跟踪紫金矿业沙特勘探进展，重点关注2025-2026年钻探结果披露，这是判断上游资源价值的关键节点。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（2）关注冶炼项目的融资安排和建设进度，尤其是第一期锌冶炼厂的开工时间，这将是验证紫金沙特战略执行力的重要指标。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（3）关注Vedanta在沙特的进展，其与紫金在勘探和冶炼两个维度均存在直接竞争，竞争态势将影响紫金的市场地位。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（4）建议在2026年底前对本报告进行更新，届时勘探钻探数据和冶炼项目进展将更为清晰。</w:t>
      </w:r>
    </w:p>
    <w:p/>
    <w:p>
      <w:pPr>
        <w:jc w:val="center"/>
      </w:pPr>
      <w:r>
        <w:rPr>
          <w:rFonts w:ascii="Times New Roman" w:hAnsi="Times New Roman" w:eastAsia="宋体"/>
          <w:i/>
          <w:sz w:val="18"/>
        </w:rPr>
        <w:t>免责声明：本报告基于公开信息整理，仅供内部参考，不构成投资建议。数据截至2026年5月20日。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