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2021.01.29第_班矿三批车_列，装好_列，对妥_列。实业一期批车_列，装好_列，对妥_列。实业二期批_列，装好_列，对好_列。</w:t>
      </w:r>
    </w:p>
    <w:p>
      <w:r>
        <w:t>一、2021.01.29第_班装车超时较多的原因分析</w:t>
      </w:r>
    </w:p>
    <w:p>
      <w:r>
        <w:t>1、实业2线，首钢沙河驿29次，12:22调妥，19:20具备挂车条件，共计用时6小时58分钟。</w:t>
        <w:br/>
        <w:t>原因：</w:t>
      </w:r>
    </w:p>
    <w:p>
      <w:r>
        <w:t>二、2021.01.29第_班待挂重车、待送空车时间较长原因分析</w:t>
      </w:r>
    </w:p>
    <w:p>
      <w:r>
        <w:t>1、实业1线，无29次，14:22具备挂车条件，19:44挂出，重车待挂时间共计5小时22分钟。</w:t>
        <w:br/>
        <w:t>原因：</w:t>
      </w:r>
    </w:p>
    <w:p>
      <w:r>
        <w:t>2、实业2线，首钢沙河驿29次，19:20具备挂车条件，02:22挂出，重车待挂时间共计7小时1分钟。</w:t>
        <w:br/>
        <w:t>原因：</w:t>
      </w:r>
    </w:p>
    <w:p>
      <w:r>
        <w:t>2021.01.29曹妃甸南第_班卸车_，其中煤_，钢材_。待卸_，其中_煤，_钢。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