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aps/>
          <w:color w:val="595959"/>
          <w:sz w:val="18"/>
          <w:szCs w:val="18"/>
        </w:rPr>
        <w:t xml:space="preserve">Thesis Direction — Concept Note</w:t>
      </w:r>
    </w:p>
    <w:p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 xml:space="preserve">Reasoning Under Uncertainty for Open-World Knowledge Graph Completion with Large Language Models</w:t>
      </w:r>
    </w:p>
    <w:p>
      <w:pPr>
        <w:spacing w:after="120"/>
        <w:jc w:val="center"/>
      </w:pPr>
      <w:r>
        <w:rPr>
          <w:i/>
          <w:iCs/>
          <w:color w:val="595959"/>
          <w:sz w:val="22"/>
          <w:szCs w:val="22"/>
        </w:rPr>
        <w:t xml:space="preserve">A Comparative Framework: Probabilistic, Possibilistic, Evidential, and Fuzzy Representations of Abstention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Master of Research (DSIR), 2nd Year  ·  Prepared by: [Your name]  ·  Supervisor: [Advisor]</w:t>
      </w:r>
    </w:p>
    <w:p>
      <w:pPr>
        <w:pBdr>
          <w:bottom w:val="single" w:color="1F4E79" w:sz="12" w:space="8"/>
        </w:pBdr>
        <w:spacing w:after="200"/>
        <w:jc w:val="center"/>
      </w:pPr>
    </w:p>
    <w:p>
      <w:pPr>
        <w:pStyle w:val="Heading1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1.  Motivation and Problem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Knowledge Graph Completion (KGC) predicts missing facts (triples) in a knowledge graph. The reference approach for this thesis, KG-LLM (Yao et al., ICASSP 2025), reformulates KGC as instruction-following: a large language model is fine-tuned to answer whether a triple is true. This framing forces a confident binary decision on every triple. </w:t>
      </w:r>
      <w:r>
        <w:rPr>
          <w:b/>
          <w:bCs/>
          <w:sz w:val="22"/>
          <w:szCs w:val="22"/>
        </w:rPr>
        <w:t xml:space="preserve">But knowledge graphs obey the open-world assumption: a triple that is absent is not false, only unknown.</w:t>
      </w:r>
      <w:r>
        <w:rPr>
          <w:sz w:val="22"/>
          <w:szCs w:val="22"/>
        </w:rPr>
        <w:t xml:space="preserve"> A model that must answer True or False on facts it cannot possibly know is rewarded for confident guessing, which inflates reported accuracy and produces poorly-calibrated systems.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The deeper issue is a mismatch between the tool and the task. Standard LLM confidence — including recent calibration work such as SECL (Self-Calibrating Language Models, 2026) — is </w:t>
      </w:r>
      <w:r>
        <w:rPr>
          <w:i/>
          <w:iCs/>
          <w:sz w:val="22"/>
          <w:szCs w:val="22"/>
        </w:rPr>
        <w:t xml:space="preserve">probabilistic</w:t>
      </w:r>
      <w:r>
        <w:rPr>
          <w:sz w:val="22"/>
          <w:szCs w:val="22"/>
        </w:rPr>
        <w:t xml:space="preserve">: a single number with P(True) + P(False) = 1. Probability, by construction, </w:t>
      </w:r>
      <w:r>
        <w:rPr>
          <w:b/>
          <w:bCs/>
          <w:sz w:val="22"/>
          <w:szCs w:val="22"/>
        </w:rPr>
        <w:t xml:space="preserve">cannot represent ignorance</w:t>
      </w:r>
      <w:r>
        <w:rPr>
          <w:sz w:val="22"/>
          <w:szCs w:val="22"/>
        </w:rPr>
        <w:t xml:space="preserve">. This is exactly the limitation illustrated at the start of the Evidence-Theory chapter of the Reasoning-under-Uncertainty course (Farah, 2025–2026): when a radar system reports only that an object is “bare soil or road,” a probabilistic encoding is forced into an arbitrary ½ / ½, whereas the honest statement is that all belief rests on the set {bare soil, road} and none is committed to a single class. Open-world KGC is the same situation: the missing triple is not 50/50 true-or-false, it is a state of ignorance.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This concept note proposes to treat the representation of uncertainty itself as the central contribution — by importing the four classical frameworks of the course (probabilistic, possibilistic, evidential, fuzzy) into LLM-based KGC, a combination that, to our knowledge, has not been done.</w:t>
      </w:r>
    </w:p>
    <w:p>
      <w:pPr>
        <w:pStyle w:val="Heading1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2.  Core Idea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For every candidate triple we define a frame of discernment </w:t>
      </w:r>
      <w:r>
        <w:rPr>
          <w:b/>
          <w:bCs/>
          <w:sz w:val="22"/>
          <w:szCs w:val="22"/>
        </w:rPr>
        <w:t xml:space="preserve">Ω = {True, False}</w:t>
      </w:r>
      <w:r>
        <w:rPr>
          <w:sz w:val="22"/>
          <w:szCs w:val="22"/>
        </w:rPr>
        <w:t xml:space="preserve"> and build </w:t>
      </w:r>
      <w:r>
        <w:rPr>
          <w:b/>
          <w:bCs/>
          <w:sz w:val="22"/>
          <w:szCs w:val="22"/>
        </w:rPr>
        <w:t xml:space="preserve">one shared LLM pipeline</w:t>
      </w:r>
      <w:r>
        <w:rPr>
          <w:sz w:val="22"/>
          <w:szCs w:val="22"/>
        </w:rPr>
        <w:t xml:space="preserve"> — Qwen2.5-7B-Instruct, fine-tuned (QLoRA) on a purpose-built True / False / Unknown benchmark — over which we swap </w:t>
      </w:r>
      <w:r>
        <w:rPr>
          <w:b/>
          <w:bCs/>
          <w:sz w:val="22"/>
          <w:szCs w:val="22"/>
        </w:rPr>
        <w:t xml:space="preserve">four interchangeable uncertainty layers</w:t>
      </w:r>
      <w:r>
        <w:rPr>
          <w:sz w:val="22"/>
          <w:szCs w:val="22"/>
        </w:rPr>
        <w:t xml:space="preserve">. Each layer is a different mathematical language for the same question, “how much do we believe this triple, and how much do we simply not know?” The uncertainty layers are post-hoc computations over model signals, so all four share the same expensive base inference.</w:t>
      </w:r>
    </w:p>
    <w:p>
      <w:pPr>
        <w:pStyle w:val="Heading1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3.  The Four Instantiations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900"/>
        <w:gridCol w:w="1960"/>
      </w:tblGrid>
      <w:tr>
        <w:trPr>
          <w:cantSplit/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3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Uncertainty representation</w:t>
            </w:r>
          </w:p>
        </w:tc>
        <w:tc>
          <w:tcPr>
            <w:tcW w:type="dxa" w:w="2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“Unknown” is expressed</w:t>
            </w:r>
          </w:p>
        </w:tc>
        <w:tc>
          <w:tcPr>
            <w:tcW w:type="dxa" w:w="19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Combination / fusion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Probabilistic (baseline)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 probability P(True) ∈ [0,1], softmax / token-probability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Implicit only — forced P(T)+P(F)=1; no native ignorance</w:t>
            </w:r>
          </w:p>
        </w:tc>
        <w:tc>
          <w:tcPr>
            <w:tcW w:type="dxa" w:w="19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Bayes rule; SECL P(True) distillation</w:t>
            </w:r>
          </w:p>
        </w:tc>
      </w:tr>
      <w:tr>
        <w:trPr>
          <w:cantSplit/>
        </w:trPr>
        <w:tc>
          <w:tcPr>
            <w:tcW w:type="dxa" w:w="15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Possibilistic (Zadeh; Dubois–Prade)</w:t>
            </w:r>
          </w:p>
        </w:tc>
        <w:tc>
          <w:tcPr>
            <w:tcW w:type="dxa" w:w="30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Possibility π and necessity N, with N(T)=1−π(F)</w:t>
            </w:r>
          </w:p>
        </w:tc>
        <w:tc>
          <w:tcPr>
            <w:tcW w:type="dxa" w:w="29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“Possible but not necessary”: π(T)=1, N(T)=0 = plausible-but-unrecorded</w:t>
            </w:r>
          </w:p>
        </w:tc>
        <w:tc>
          <w:tcPr>
            <w:tcW w:type="dxa" w:w="196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Conjunctive / disjunctive fusion</w:t>
            </w:r>
          </w:p>
        </w:tc>
      </w:tr>
      <w:tr>
        <w:trPr>
          <w:cantSplit/>
        </w:trPr>
        <w:tc>
          <w:tcPr>
            <w:tcW w:type="dxa" w:w="1500"/>
            <w:shd w:fill="FFF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Evidential — Dempster–Shafer  (FLAGSHIP)</w:t>
            </w:r>
          </w:p>
        </w:tc>
        <w:tc>
          <w:tcPr>
            <w:tcW w:type="dxa" w:w="3000"/>
            <w:shd w:fill="FFF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Mass function m on {T}, {F}, and Ω={T,F}; Bel ≤ Pl</w:t>
            </w:r>
          </w:p>
        </w:tc>
        <w:tc>
          <w:tcPr>
            <w:tcW w:type="dxa" w:w="2900"/>
            <w:shd w:fill="FFF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Explicit: the mass m(Ω) is the ignorance / Unknown</w:t>
            </w:r>
          </w:p>
        </w:tc>
        <w:tc>
          <w:tcPr>
            <w:tcW w:type="dxa" w:w="1960"/>
            <w:shd w:fill="FFF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Dempster’s rule of combination (+ discounting)</w:t>
            </w:r>
          </w:p>
        </w:tc>
      </w:tr>
      <w:tr>
        <w:trPr>
          <w:cantSplit/>
        </w:trPr>
        <w:tc>
          <w:tcPr>
            <w:tcW w:type="dxa" w:w="15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Fuzzy (Zadeh sets)</w:t>
            </w:r>
          </w:p>
        </w:tc>
        <w:tc>
          <w:tcPr>
            <w:tcW w:type="dxa" w:w="30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Membership degree μ ∈ [0,1] in the fuzzy set of true statements</w:t>
            </w:r>
          </w:p>
        </w:tc>
        <w:tc>
          <w:tcPr>
            <w:tcW w:type="dxa" w:w="290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graded scale True / Likely / Unknown / Unlikely / False</w:t>
            </w:r>
          </w:p>
        </w:tc>
        <w:tc>
          <w:tcPr>
            <w:tcW w:type="dxa" w:w="1960"/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t-norms / t-conorms over evidence degrees</w:t>
            </w:r>
          </w:p>
        </w:tc>
      </w:tr>
    </w:tbl>
    <w:p>
      <w:pPr>
        <w:spacing w:after="40"/>
        <w:jc w:val="both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160"/>
      </w:pPr>
      <w:r>
        <w:rPr>
          <w:b/>
          <w:bCs/>
          <w:color w:val="1F4E79"/>
          <w:sz w:val="24"/>
          <w:szCs w:val="24"/>
        </w:rPr>
        <w:t xml:space="preserve">3.1  Evidential (Dempster–Shafer) — the flagship method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Each triple judgement is a mass function with focal elements {True}, {False}, and the whole frame Ω = {True, False}. The mass on Ω, </w:t>
      </w:r>
      <w:r>
        <w:rPr>
          <w:b/>
          <w:bCs/>
          <w:sz w:val="22"/>
          <w:szCs w:val="22"/>
        </w:rPr>
        <w:t xml:space="preserve">m(Ω)</w:t>
      </w:r>
      <w:r>
        <w:rPr>
          <w:sz w:val="22"/>
          <w:szCs w:val="22"/>
        </w:rPr>
        <w:t xml:space="preserve">, is a principled, quantitative “Unknown” — replacing the ad-hoc third class with genuine ignorance. Each LLM signal is treated as an independent </w:t>
      </w:r>
      <w:r>
        <w:rPr>
          <w:i/>
          <w:iCs/>
          <w:sz w:val="22"/>
          <w:szCs w:val="22"/>
        </w:rPr>
        <w:t xml:space="preserve">source of evidence</w:t>
      </w:r>
      <w:r>
        <w:rPr>
          <w:sz w:val="22"/>
          <w:szCs w:val="22"/>
        </w:rPr>
        <w:t xml:space="preserve"> and combined with Dempster’s rule (the witnesses example from the course):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S₁ — the model’s verbalized confidence;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S₂ — the P(True) token probability (the SECL signal);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S₃ — self-consistency agreement over N sampled generations;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S₄ — support from the retrieved local neighbourhood / subgraph.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Decision rule: answer </w:t>
      </w:r>
      <w:r>
        <w:rPr>
          <w:b/>
          <w:bCs/>
          <w:sz w:val="22"/>
          <w:szCs w:val="22"/>
        </w:rPr>
        <w:t xml:space="preserve">Unknown when m(Ω), or the gap Pl(True) − Bel(True), is large</w:t>
      </w:r>
      <w:r>
        <w:rPr>
          <w:sz w:val="22"/>
          <w:szCs w:val="22"/>
        </w:rPr>
        <w:t xml:space="preserve">; answer True or False when belief concentrates on a singleton. This simultaneously yields belief, plausibility and ignorance for every triple — directly addressing the “richer Unknown” requirement.</w:t>
      </w:r>
    </w:p>
    <w:p>
      <w:pPr>
        <w:pStyle w:val="Heading2"/>
        <w:spacing w:after="80" w:before="160"/>
      </w:pPr>
      <w:r>
        <w:rPr>
          <w:b/>
          <w:bCs/>
          <w:color w:val="1F4E79"/>
          <w:sz w:val="24"/>
          <w:szCs w:val="24"/>
        </w:rPr>
        <w:t xml:space="preserve">3.2  Possibilistic and Fuzzy layers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The possibilistic layer encodes the ordinal, qualitative uncertainty typical of open-world graphs: a triple can be fully possible (π = 1) yet not necessary (N = 0) — the natural home for “plausible but unverified” Unknowns (e.g. an additional acting role absent from the graph). The fuzzy layer represents truth as a membership degree μ and realises the graded label scale via fuzzy linguistic variables, with rules such as μ(true) = t-norm(type-consistency degree, evidence degree).</w:t>
      </w:r>
    </w:p>
    <w:p>
      <w:pPr>
        <w:pStyle w:val="Heading1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4.  Unified Architecture and Data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 single benchmark and model back all four layers. The benchmark (already built) derives three grounded classes from YAGO3-10: </w:t>
      </w:r>
      <w:r>
        <w:rPr>
          <w:b/>
          <w:bCs/>
          <w:sz w:val="22"/>
          <w:szCs w:val="22"/>
        </w:rPr>
        <w:t xml:space="preserve">True</w:t>
      </w:r>
      <w:r>
        <w:rPr>
          <w:sz w:val="22"/>
          <w:szCs w:val="22"/>
        </w:rPr>
        <w:t xml:space="preserve"> (observed triples), </w:t>
      </w:r>
      <w:r>
        <w:rPr>
          <w:b/>
          <w:bCs/>
          <w:sz w:val="22"/>
          <w:szCs w:val="22"/>
        </w:rPr>
        <w:t xml:space="preserve">False</w:t>
      </w:r>
      <w:r>
        <w:rPr>
          <w:sz w:val="22"/>
          <w:szCs w:val="22"/>
        </w:rPr>
        <w:t xml:space="preserve"> (corruptions of genuinely single-valued relations — e.g. wasBornIn, diedIn, hasGender, hasCapital, hasCurrency — that contradict the graph), and </w:t>
      </w:r>
      <w:r>
        <w:rPr>
          <w:b/>
          <w:bCs/>
          <w:sz w:val="22"/>
          <w:szCs w:val="22"/>
        </w:rPr>
        <w:t xml:space="preserve">Unknown</w:t>
      </w:r>
      <w:r>
        <w:rPr>
          <w:sz w:val="22"/>
          <w:szCs w:val="22"/>
        </w:rPr>
        <w:t xml:space="preserve"> (type-consistent corruptions of many-valued relations that are absent and not derivable). Relation functionality and a multi-valued-head test are computed from the data, so the False/Unknown split is principled and auditable. The four uncertainty layers attach at the output stage; the shared Qwen model and its P(True) readout feed all of them.</w:t>
      </w:r>
    </w:p>
    <w:p>
      <w:pPr>
        <w:pStyle w:val="Heading1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5.  Evaluation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Beyond the accuracy/F1 that KGC usually reports, the study centres on the trustworthiness metrics the field rarely measures: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Calibration: Expected Calibration Error (ECE), Brier score, negative log-likelihood.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Selective prediction: risk–coverage curves and the area under them (AURC); correct-abstention rate on the Unknown class.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Abstention quality: AUROC of the uncertainty signal against correctness, broken down by Unknown sub-type (unconstrained, open-extension, rare-head, implausible).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Cross-framework comparison: which representation best separates ignorance from error, at what inference cost.</w:t>
      </w:r>
    </w:p>
    <w:p>
      <w:pPr>
        <w:pStyle w:val="Heading1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6.  Novelty and Positioning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Recent LLM-KGC work is well developed on structure (SAT, GS-KGC), ontology, temporal and inductive settings — but uniformly models uncertainty with a single probability. Abstention and calibration have been studied for question answering, never ported to KGC; and non-probabilistic uncertainty theories (evidence, possibility, fuzzy) have, to our knowledge, </w:t>
      </w:r>
      <w:r>
        <w:rPr>
          <w:b/>
          <w:bCs/>
          <w:sz w:val="22"/>
          <w:szCs w:val="22"/>
        </w:rPr>
        <w:t xml:space="preserve">not been applied to LLM-based KGC at all</w:t>
      </w:r>
      <w:r>
        <w:rPr>
          <w:sz w:val="22"/>
          <w:szCs w:val="22"/>
        </w:rPr>
        <w:t xml:space="preserve">. The contribution is therefore both conceptual (a formal account of open-world abstention) and empirical (a controlled comparison of four representations on one pipeline), with the evidential fusion of heterogeneous LLM signals as the flagship result.</w:t>
      </w:r>
    </w:p>
    <w:p>
      <w:pPr>
        <w:pStyle w:val="Heading1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7.  Feasibility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All model work uses Qwen2.5-7B-Instruct in 4-bit (QLoRA) on a single 16 GB Kaggle GPU (P100 or T4×2); the benchmark builder and the calibration/uncertainty analysis run on CPU. Because the four uncertainty layers are lightweight post-hoc mathematics over cached model outputs, the additional compute beyond a single fine-tune and inference pass is negligible — the comparative study is affordable on the available hardware.</w:t>
      </w:r>
    </w:p>
    <w:p>
      <w:pPr>
        <w:pStyle w:val="Heading1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8.  Key Research Challenge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Dempster’s rule assumes independent sources, yet the LLM signals are correlated (verbalized confidence and P(True) come from the same model). Naive fusion would overstate certainty. This is a genuine, tractable research problem rather than a flaw: the course itself supplies the remedies — </w:t>
      </w:r>
      <w:r>
        <w:rPr>
          <w:b/>
          <w:bCs/>
          <w:sz w:val="22"/>
          <w:szCs w:val="22"/>
        </w:rPr>
        <w:t xml:space="preserve">discounting</w:t>
      </w:r>
      <w:r>
        <w:rPr>
          <w:sz w:val="22"/>
          <w:szCs w:val="22"/>
        </w:rPr>
        <w:t xml:space="preserve"> of unreliable/correlated sources and cautious (non-idempotent-safe) combination rules. Characterising and correcting source dependence is itself a contribution of the thesis.</w:t>
      </w:r>
    </w:p>
    <w:p>
      <w:pPr>
        <w:pStyle w:val="Heading1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9.  Indicative Work Plan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  <w:sz w:val="22"/>
          <w:szCs w:val="22"/>
        </w:rPr>
        <w:t xml:space="preserve">Step 1 — True/False/Unknown benchmark from YAGO3-10.  [done]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Step 2 — QLoRA 3-way fine-tuning of Qwen2.5-7B-Instruct.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Step 3 — P(True) discriminative scoring and self-consistency signals.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Step 4 — Calibration and selective-prediction evaluation harness.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Step 5 — Uncertainty layers: probabilistic (baseline), possibilistic, evidential (DST) with discounting, fuzzy.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Step 6 — Comparative study, ablations, and (optional) test-time discriminative distillation (SECL) port.</w:t>
      </w:r>
    </w:p>
    <w:p>
      <w:pPr>
        <w:pStyle w:val="Heading1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References</w:t>
      </w:r>
    </w:p>
    <w:p>
      <w:pPr>
        <w:spacing w:after="40"/>
        <w:jc w:val="both"/>
      </w:pPr>
      <w:r>
        <w:rPr>
          <w:sz w:val="20"/>
          <w:szCs w:val="20"/>
        </w:rPr>
        <w:t xml:space="preserve">Yao, L., Peng, J., Mao, C., Luo, Y. Exploring Large Language Models for Knowledge Graph Completion. ICASSP 2025.</w:t>
      </w:r>
    </w:p>
    <w:p>
      <w:pPr>
        <w:spacing w:after="40"/>
        <w:jc w:val="both"/>
      </w:pPr>
      <w:r>
        <w:rPr>
          <w:sz w:val="20"/>
          <w:szCs w:val="20"/>
        </w:rPr>
        <w:t xml:space="preserve">Hedna, M. R., Strich, J., Semmann, M., Biemann, C. Self-Calibrating Language Models via Test-Time Discriminative Distillation. arXiv:2604.09624, 2026.</w:t>
      </w:r>
    </w:p>
    <w:p>
      <w:pPr>
        <w:spacing w:after="40"/>
        <w:jc w:val="both"/>
      </w:pPr>
      <w:r>
        <w:rPr>
          <w:sz w:val="20"/>
          <w:szCs w:val="20"/>
        </w:rPr>
        <w:t xml:space="preserve">Farah, M. Reasoning under Uncertainty (Probabilistic, Possibilistic, Evidential, Fuzzy). Master of Research DSIR, 2025–2026.</w:t>
      </w:r>
    </w:p>
    <w:p>
      <w:pPr>
        <w:spacing w:after="40"/>
        <w:jc w:val="both"/>
      </w:pPr>
      <w:r>
        <w:rPr>
          <w:sz w:val="20"/>
          <w:szCs w:val="20"/>
        </w:rPr>
        <w:t xml:space="preserve">Shafer, G. A Mathematical Theory of Evidence. Princeton, 1976.  ·  Dubois, D., Prade, H. Possibility Theory, 1988.  ·  Zadeh, L. Fuzzy Sets, 1965.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abstain-kgc</dc:creator>
  <cp:lastModifiedBy>Un-named</cp:lastModifiedBy>
  <cp:revision>1</cp:revision>
  <dcterms:created xsi:type="dcterms:W3CDTF">2026-07-29T12:53:31.039Z</dcterms:created>
  <dcterms:modified xsi:type="dcterms:W3CDTF">2026-07-29T12:53:31.040Z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