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[SEQ-01] SƠ ĐỒ TUẦN TỰ (SEQUENCE DIAGRAM)</w:t>
      </w:r>
    </w:p>
    <w:p>
      <w:pPr>
        <w:jc w:val="center"/>
      </w:pPr>
      <w:r>
        <w:rPr>
          <w:i/>
        </w:rPr>
        <w:t>Đề tài: YouTube Xu – Xem quảng cáo nhận xu</w:t>
      </w:r>
    </w:p>
    <w:p>
      <w:r>
        <w:rPr>
          <w:b w:val="0"/>
          <w:i w:val="0"/>
        </w:rPr>
        <w:t>Các sơ đồ dưới đây mô tả tương tác giữa Người dùng – Giao diện web – Máy chủ – Cơ sở dữ liệu cho các use case trong SYS-02, bao gồm cả luồng ngoại lệ.</w:t>
      </w:r>
    </w:p>
    <w:p>
      <w:pPr>
        <w:pStyle w:val="Heading1"/>
      </w:pPr>
      <w:r>
        <w:t>1. Use case UC-01: Xem quảng cáo &amp; nhận xu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47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1. Sequence Diagram – Xem quảng cáo &amp; nhận xu</w:t>
      </w:r>
    </w:p>
    <w:p>
      <w:pPr>
        <w:pStyle w:val="ListBullet"/>
      </w:pPr>
      <w:r>
        <w:rPr>
          <w:b w:val="0"/>
          <w:i w:val="0"/>
        </w:rPr>
        <w:t>Máy chủ là nơi duy nhất cấp view_token và đếm giờ; client chỉ gửi heartbeat nên không thể tự khai số giây đã xem.</w:t>
      </w:r>
    </w:p>
    <w:p>
      <w:pPr>
        <w:pStyle w:val="ListBullet"/>
      </w:pPr>
      <w:r>
        <w:rPr>
          <w:b w:val="0"/>
          <w:i w:val="0"/>
        </w:rPr>
        <w:t>Bước cộng xu, ghi sổ cái, tăng spent_xu nằm trong một DB Transaction để không lệch số liệu.</w:t>
      </w:r>
    </w:p>
    <w:p>
      <w:pPr>
        <w:pStyle w:val="Heading1"/>
      </w:pPr>
      <w:r>
        <w:t>2. Use case UC-02: Đổi xu lấy quà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2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2. Sequence Diagram – Đổi xu lấy quà</w:t>
      </w:r>
    </w:p>
    <w:p>
      <w:pPr>
        <w:pStyle w:val="ListBullet"/>
      </w:pPr>
      <w:r>
        <w:rPr>
          <w:b w:val="0"/>
          <w:i w:val="0"/>
        </w:rPr>
        <w:t>Đơn ≤ 50.000đ tự động duyệt; đơn lớn hơn chờ Admin trong 24 giờ, bị từ chối thì hoàn xu bằng giao dịch REFUND.</w:t>
      </w:r>
    </w:p>
    <w:p>
      <w:pPr>
        <w:pStyle w:val="Heading1"/>
      </w:pPr>
      <w:r>
        <w:t>3. Use case UC-04 &amp; UC-05: Tạo chiến dịch và duyệt quảng cáo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7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3. Sequence Diagram – Tạo chiến dịch &amp; duyệt quảng cáo</w:t>
      </w:r>
    </w:p>
    <w:p>
      <w:r>
        <w:br w:type="page"/>
      </w:r>
    </w:p>
    <w:p>
      <w:pPr>
        <w:pStyle w:val="Heading1"/>
        <w:spacing w:after="160"/>
      </w:pPr>
      <w:r>
        <w:t>RÀ SOÁT VÀ BỔ SUNG HOÀN THIỆN</w:t>
      </w:r>
    </w:p>
    <w:p>
      <w:pPr>
        <w:spacing w:after="100"/>
      </w:pPr>
      <w:r>
        <w:rPr>
          <w:b/>
        </w:rPr>
        <w:t xml:space="preserve">Nguyên tắc đọc sơ đồ. </w:t>
      </w:r>
      <w:r>
        <w:t>Mũi tên liền biểu diễn lời gọi; mũi tên trả về biểu diễn kết quả; nhánh alt/opt thể hiện điều kiện hoặc luồng ngoại lệ. Tên thông điệp cần khớp endpoint và tên thao tác trong SYS-02/API-01.</w:t>
      </w:r>
    </w:p>
    <w:p>
      <w:pPr>
        <w:spacing w:after="100"/>
      </w:pPr>
      <w:r>
        <w:rPr>
          <w:b/>
        </w:rPr>
        <w:t xml:space="preserve">Tính nguyên tử và chống lặp. </w:t>
      </w:r>
      <w:r>
        <w:t>Sơ đồ cộng xu cần thể hiện rõ bước kiểm tra trạng thái, bắt đầu transaction, ghi sổ cái, cập nhật số dư và commit; khi có lỗi phải rollback. Không xử lý cộng xu chỉ dựa trên thông báo từ trình duyệt.</w:t>
      </w:r>
    </w:p>
    <w:p>
      <w:pPr>
        <w:spacing w:after="100"/>
      </w:pPr>
      <w:r>
        <w:rPr>
          <w:b/>
        </w:rPr>
        <w:t xml:space="preserve">Nhật ký quản trị. </w:t>
      </w:r>
      <w:r>
        <w:t>Với cảnh báo gian lận, ghi lại mã cảnh báo, bằng chứng, quyết định của Admin, lý do và thời điểm. Các tín hiệu dùng chung thiết bị/IP chỉ là dấu hiệu để rà soát, không đủ để kết luận vi phạm.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