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[CLS-01] SƠ ĐỒ LỚP (CLASS DIAGRAM)</w:t>
      </w:r>
    </w:p>
    <w:p>
      <w:pPr>
        <w:jc w:val="center"/>
      </w:pPr>
      <w:r>
        <w:rPr>
          <w:i/>
        </w:rPr>
        <w:t>Đề tài: YouTube Xu – Xem quảng cáo nhận xu</w:t>
      </w:r>
    </w:p>
    <w:p>
      <w:pPr>
        <w:pStyle w:val="Heading1"/>
      </w:pPr>
      <w:r>
        <w:t>1. Sơ đồ lớp</w:t>
      </w:r>
    </w:p>
    <w:p>
      <w:pPr>
        <w:jc w:val="center"/>
      </w:pPr>
      <w:r>
        <w:drawing>
          <wp:inline xmlns:a="http://schemas.openxmlformats.org/drawingml/2006/main" xmlns:pic="http://schemas.openxmlformats.org/drawingml/2006/picture">
            <wp:extent cx="6120000" cy="4093878"/>
            <wp:docPr id="1" name="Picture 1"/>
            <wp:cNvGraphicFramePr>
              <a:graphicFrameLocks noChangeAspect="1"/>
            </wp:cNvGraphicFramePr>
            <a:graphic>
              <a:graphicData uri="http://schemas.openxmlformats.org/drawingml/2006/picture">
                <pic:pic>
                  <pic:nvPicPr>
                    <pic:cNvPr id="0" name="cls.png"/>
                    <pic:cNvPicPr/>
                  </pic:nvPicPr>
                  <pic:blipFill>
                    <a:blip r:embed="rId9"/>
                    <a:stretch>
                      <a:fillRect/>
                    </a:stretch>
                  </pic:blipFill>
                  <pic:spPr>
                    <a:xfrm>
                      <a:off x="0" y="0"/>
                      <a:ext cx="6120000" cy="4093878"/>
                    </a:xfrm>
                    <a:prstGeom prst="rect"/>
                  </pic:spPr>
                </pic:pic>
              </a:graphicData>
            </a:graphic>
          </wp:inline>
        </w:drawing>
      </w:r>
    </w:p>
    <w:p>
      <w:pPr>
        <w:jc w:val="center"/>
      </w:pPr>
      <w:r>
        <w:rPr>
          <w:i/>
          <w:sz w:val="22"/>
        </w:rPr>
        <w:t>Hình 1. Class Diagram của hệ thống YouTube Xu</w:t>
      </w:r>
    </w:p>
    <w:p>
      <w:pPr>
        <w:pStyle w:val="Heading1"/>
      </w:pPr>
      <w:r>
        <w:t>2. Giải thích các lớp chính</w:t>
      </w:r>
    </w:p>
    <w:tbl>
      <w:tblPr>
        <w:tblStyle w:val="TableGrid"/>
        <w:tblW w:type="auto" w:w="0"/>
        <w:jc w:val="center"/>
        <w:tblLook w:firstColumn="1" w:firstRow="1" w:lastColumn="0" w:lastRow="0" w:noHBand="0" w:noVBand="1" w:val="04A0"/>
      </w:tblPr>
      <w:tblGrid>
        <w:gridCol w:w="3137"/>
        <w:gridCol w:w="3137"/>
        <w:gridCol w:w="3137"/>
      </w:tblGrid>
      <w:tr>
        <w:tc>
          <w:tcPr>
            <w:tcW w:type="dxa" w:w="2381"/>
            <w:shd w:val="clear" w:color="auto" w:fill="1F3864"/>
          </w:tcPr>
          <w:p>
            <w:r/>
            <w:r>
              <w:rPr>
                <w:b/>
                <w:color w:val="FFFFFF"/>
                <w:sz w:val="20"/>
              </w:rPr>
              <w:t>Lớp</w:t>
            </w:r>
          </w:p>
        </w:tc>
        <w:tc>
          <w:tcPr>
            <w:tcW w:type="dxa" w:w="4876"/>
            <w:shd w:val="clear" w:color="auto" w:fill="1F3864"/>
          </w:tcPr>
          <w:p>
            <w:r/>
            <w:r>
              <w:rPr>
                <w:b/>
                <w:color w:val="FFFFFF"/>
                <w:sz w:val="20"/>
              </w:rPr>
              <w:t>Vai trò</w:t>
            </w:r>
          </w:p>
        </w:tc>
        <w:tc>
          <w:tcPr>
            <w:tcW w:type="dxa" w:w="2268"/>
            <w:shd w:val="clear" w:color="auto" w:fill="1F3864"/>
          </w:tcPr>
          <w:p>
            <w:r/>
            <w:r>
              <w:rPr>
                <w:b/>
                <w:color w:val="FFFFFF"/>
                <w:sz w:val="20"/>
              </w:rPr>
              <w:t>Tương ứng bảng CSDL</w:t>
            </w:r>
          </w:p>
        </w:tc>
      </w:tr>
      <w:tr>
        <w:tc>
          <w:tcPr>
            <w:tcW w:type="dxa" w:w="2381"/>
          </w:tcPr>
          <w:p>
            <w:r>
              <w:rPr>
                <w:sz w:val="20"/>
              </w:rPr>
            </w:r>
            <w:r>
              <w:rPr>
                <w:b w:val="0"/>
                <w:i w:val="0"/>
                <w:sz w:val="20"/>
              </w:rPr>
              <w:t>User / Viewer / Advertiser / Admin</w:t>
            </w:r>
          </w:p>
        </w:tc>
        <w:tc>
          <w:tcPr>
            <w:tcW w:type="dxa" w:w="4876"/>
          </w:tcPr>
          <w:p>
            <w:r>
              <w:rPr>
                <w:sz w:val="20"/>
              </w:rPr>
            </w:r>
            <w:r>
              <w:rPr>
                <w:b w:val="0"/>
                <w:i w:val="0"/>
                <w:sz w:val="20"/>
              </w:rPr>
              <w:t>Lớp cha User chứa thông tin chung; ba lớp con theo vai trò, kế thừa các thao tác đăng ký, đăng nhập.</w:t>
            </w:r>
          </w:p>
        </w:tc>
        <w:tc>
          <w:tcPr>
            <w:tcW w:type="dxa" w:w="2268"/>
          </w:tcPr>
          <w:p>
            <w:r>
              <w:rPr>
                <w:sz w:val="20"/>
              </w:rPr>
            </w:r>
            <w:r>
              <w:rPr>
                <w:b w:val="0"/>
                <w:i w:val="0"/>
                <w:sz w:val="20"/>
              </w:rPr>
              <w:t>users (cột system_role)</w:t>
            </w:r>
          </w:p>
        </w:tc>
      </w:tr>
      <w:tr>
        <w:tc>
          <w:tcPr>
            <w:tcW w:type="dxa" w:w="2381"/>
          </w:tcPr>
          <w:p>
            <w:r>
              <w:rPr>
                <w:sz w:val="20"/>
              </w:rPr>
            </w:r>
            <w:r>
              <w:rPr>
                <w:b w:val="0"/>
                <w:i w:val="0"/>
                <w:sz w:val="20"/>
              </w:rPr>
              <w:t>Ad</w:t>
            </w:r>
          </w:p>
        </w:tc>
        <w:tc>
          <w:tcPr>
            <w:tcW w:type="dxa" w:w="4876"/>
          </w:tcPr>
          <w:p>
            <w:r>
              <w:rPr>
                <w:sz w:val="20"/>
              </w:rPr>
            </w:r>
            <w:r>
              <w:rPr>
                <w:b w:val="0"/>
                <w:i w:val="0"/>
                <w:sz w:val="20"/>
              </w:rPr>
              <w:t>Quảng cáo/chiến dịch; tự kiểm tra có phù hợp người xem, giữ và nhả ngân sách.</w:t>
            </w:r>
          </w:p>
        </w:tc>
        <w:tc>
          <w:tcPr>
            <w:tcW w:type="dxa" w:w="2268"/>
          </w:tcPr>
          <w:p>
            <w:r>
              <w:rPr>
                <w:sz w:val="20"/>
              </w:rPr>
            </w:r>
            <w:r>
              <w:rPr>
                <w:b w:val="0"/>
                <w:i w:val="0"/>
                <w:sz w:val="20"/>
              </w:rPr>
              <w:t>ads</w:t>
            </w:r>
          </w:p>
        </w:tc>
      </w:tr>
      <w:tr>
        <w:tc>
          <w:tcPr>
            <w:tcW w:type="dxa" w:w="2381"/>
          </w:tcPr>
          <w:p>
            <w:r>
              <w:rPr>
                <w:sz w:val="20"/>
              </w:rPr>
            </w:r>
            <w:r>
              <w:rPr>
                <w:b w:val="0"/>
                <w:i w:val="0"/>
                <w:sz w:val="20"/>
              </w:rPr>
              <w:t>AdTargeting</w:t>
            </w:r>
          </w:p>
        </w:tc>
        <w:tc>
          <w:tcPr>
            <w:tcW w:type="dxa" w:w="4876"/>
          </w:tcPr>
          <w:p>
            <w:r>
              <w:rPr>
                <w:sz w:val="20"/>
              </w:rPr>
            </w:r>
            <w:r>
              <w:rPr>
                <w:b w:val="0"/>
                <w:i w:val="0"/>
                <w:sz w:val="20"/>
              </w:rPr>
              <w:t>Quy tắc đối tượng mục tiêu; phương thức matches(viewer).</w:t>
            </w:r>
          </w:p>
        </w:tc>
        <w:tc>
          <w:tcPr>
            <w:tcW w:type="dxa" w:w="2268"/>
          </w:tcPr>
          <w:p>
            <w:r>
              <w:rPr>
                <w:sz w:val="20"/>
              </w:rPr>
            </w:r>
            <w:r>
              <w:rPr>
                <w:b w:val="0"/>
                <w:i w:val="0"/>
                <w:sz w:val="20"/>
              </w:rPr>
              <w:t>ad_targeting</w:t>
            </w:r>
          </w:p>
        </w:tc>
      </w:tr>
      <w:tr>
        <w:tc>
          <w:tcPr>
            <w:tcW w:type="dxa" w:w="2381"/>
          </w:tcPr>
          <w:p>
            <w:r>
              <w:rPr>
                <w:sz w:val="20"/>
              </w:rPr>
            </w:r>
            <w:r>
              <w:rPr>
                <w:b w:val="0"/>
                <w:i w:val="0"/>
                <w:sz w:val="20"/>
              </w:rPr>
              <w:t>AdCategory</w:t>
            </w:r>
          </w:p>
        </w:tc>
        <w:tc>
          <w:tcPr>
            <w:tcW w:type="dxa" w:w="4876"/>
          </w:tcPr>
          <w:p>
            <w:r>
              <w:rPr>
                <w:sz w:val="20"/>
              </w:rPr>
            </w:r>
            <w:r>
              <w:rPr>
                <w:b w:val="0"/>
                <w:i w:val="0"/>
                <w:sz w:val="20"/>
              </w:rPr>
              <w:t>Danh mục quảng cáo.</w:t>
            </w:r>
          </w:p>
        </w:tc>
        <w:tc>
          <w:tcPr>
            <w:tcW w:type="dxa" w:w="2268"/>
          </w:tcPr>
          <w:p>
            <w:r>
              <w:rPr>
                <w:sz w:val="20"/>
              </w:rPr>
            </w:r>
            <w:r>
              <w:rPr>
                <w:b w:val="0"/>
                <w:i w:val="0"/>
                <w:sz w:val="20"/>
              </w:rPr>
              <w:t>ad_categories</w:t>
            </w:r>
          </w:p>
        </w:tc>
      </w:tr>
      <w:tr>
        <w:tc>
          <w:tcPr>
            <w:tcW w:type="dxa" w:w="2381"/>
          </w:tcPr>
          <w:p>
            <w:r>
              <w:rPr>
                <w:sz w:val="20"/>
              </w:rPr>
            </w:r>
            <w:r>
              <w:rPr>
                <w:b w:val="0"/>
                <w:i w:val="0"/>
                <w:sz w:val="20"/>
              </w:rPr>
              <w:t>AdView</w:t>
            </w:r>
          </w:p>
        </w:tc>
        <w:tc>
          <w:tcPr>
            <w:tcW w:type="dxa" w:w="4876"/>
          </w:tcPr>
          <w:p>
            <w:r>
              <w:rPr>
                <w:sz w:val="20"/>
              </w:rPr>
            </w:r>
            <w:r>
              <w:rPr>
                <w:b w:val="0"/>
                <w:i w:val="0"/>
                <w:sz w:val="20"/>
              </w:rPr>
              <w:t>Một lượt xem; kiểm tra hợp lệ khi hoàn tất, đánh dấu INVALID khi gian lận.</w:t>
            </w:r>
          </w:p>
        </w:tc>
        <w:tc>
          <w:tcPr>
            <w:tcW w:type="dxa" w:w="2268"/>
          </w:tcPr>
          <w:p>
            <w:r>
              <w:rPr>
                <w:sz w:val="20"/>
              </w:rPr>
            </w:r>
            <w:r>
              <w:rPr>
                <w:b w:val="0"/>
                <w:i w:val="0"/>
                <w:sz w:val="20"/>
              </w:rPr>
              <w:t>ad_views</w:t>
            </w:r>
          </w:p>
        </w:tc>
      </w:tr>
      <w:tr>
        <w:tc>
          <w:tcPr>
            <w:tcW w:type="dxa" w:w="2381"/>
          </w:tcPr>
          <w:p>
            <w:r>
              <w:rPr>
                <w:sz w:val="20"/>
              </w:rPr>
            </w:r>
            <w:r>
              <w:rPr>
                <w:b w:val="0"/>
                <w:i w:val="0"/>
                <w:sz w:val="20"/>
              </w:rPr>
              <w:t>Reward / Redemption</w:t>
            </w:r>
          </w:p>
        </w:tc>
        <w:tc>
          <w:tcPr>
            <w:tcW w:type="dxa" w:w="4876"/>
          </w:tcPr>
          <w:p>
            <w:r>
              <w:rPr>
                <w:sz w:val="20"/>
              </w:rPr>
            </w:r>
            <w:r>
              <w:rPr>
                <w:b w:val="0"/>
                <w:i w:val="0"/>
                <w:sz w:val="20"/>
              </w:rPr>
              <w:t>Quà và đơn đổi thưởng; duyệt/từ chối đơn.</w:t>
            </w:r>
          </w:p>
        </w:tc>
        <w:tc>
          <w:tcPr>
            <w:tcW w:type="dxa" w:w="2268"/>
          </w:tcPr>
          <w:p>
            <w:r>
              <w:rPr>
                <w:sz w:val="20"/>
              </w:rPr>
            </w:r>
            <w:r>
              <w:rPr>
                <w:b w:val="0"/>
                <w:i w:val="0"/>
                <w:sz w:val="20"/>
              </w:rPr>
              <w:t>rewards, redemptions</w:t>
            </w:r>
          </w:p>
        </w:tc>
      </w:tr>
      <w:tr>
        <w:tc>
          <w:tcPr>
            <w:tcW w:type="dxa" w:w="2381"/>
          </w:tcPr>
          <w:p>
            <w:r>
              <w:rPr>
                <w:sz w:val="20"/>
              </w:rPr>
            </w:r>
            <w:r>
              <w:rPr>
                <w:b w:val="0"/>
                <w:i w:val="0"/>
                <w:sz w:val="20"/>
              </w:rPr>
              <w:t>XuTransaction</w:t>
            </w:r>
          </w:p>
        </w:tc>
        <w:tc>
          <w:tcPr>
            <w:tcW w:type="dxa" w:w="4876"/>
          </w:tcPr>
          <w:p>
            <w:r>
              <w:rPr>
                <w:sz w:val="20"/>
              </w:rPr>
            </w:r>
            <w:r>
              <w:rPr>
                <w:b w:val="0"/>
                <w:i w:val="0"/>
                <w:sz w:val="20"/>
              </w:rPr>
              <w:t>Sổ cái xu, bất biến (không có phương thức sửa).</w:t>
            </w:r>
          </w:p>
        </w:tc>
        <w:tc>
          <w:tcPr>
            <w:tcW w:type="dxa" w:w="2268"/>
          </w:tcPr>
          <w:p>
            <w:r>
              <w:rPr>
                <w:sz w:val="20"/>
              </w:rPr>
            </w:r>
            <w:r>
              <w:rPr>
                <w:b w:val="0"/>
                <w:i w:val="0"/>
                <w:sz w:val="20"/>
              </w:rPr>
              <w:t>xu_transactions</w:t>
            </w:r>
          </w:p>
        </w:tc>
      </w:tr>
    </w:tbl>
    <w:p/>
    <w:p>
      <w:pPr>
        <w:pStyle w:val="Heading1"/>
      </w:pPr>
      <w:r>
        <w:t>3. Các Enum</w:t>
      </w:r>
    </w:p>
    <w:p>
      <w:pPr>
        <w:pStyle w:val="ListBullet"/>
      </w:pPr>
      <w:r>
        <w:rPr>
          <w:b w:val="0"/>
          <w:i w:val="0"/>
        </w:rPr>
        <w:t>Role: VIEWER, ADVERTISER, ADMIN · AccountStatus: ACTIVE, LOCKED</w:t>
      </w:r>
    </w:p>
    <w:p>
      <w:pPr>
        <w:pStyle w:val="ListBullet"/>
      </w:pPr>
      <w:r>
        <w:rPr>
          <w:b w:val="0"/>
          <w:i w:val="0"/>
        </w:rPr>
        <w:t>AdStatus: DRAFT, PENDING, ACTIVE, PAUSED, ENDED, REJECTED · ViewStatus: STARTED, COMPLETED, INVALID</w:t>
      </w:r>
    </w:p>
    <w:p>
      <w:pPr>
        <w:pStyle w:val="ListBullet"/>
      </w:pPr>
      <w:r>
        <w:rPr>
          <w:b w:val="0"/>
          <w:i w:val="0"/>
        </w:rPr>
        <w:t>RedemptionStatus: PENDING, APPROVED, DELIVERED, REJECTED · TxnType: EARN, REDEEM, REFUND, BONUS, ADJUST</w:t>
      </w:r>
    </w:p>
    <w:p>
      <w:r>
        <w:br w:type="page"/>
      </w:r>
    </w:p>
    <w:p>
      <w:pPr>
        <w:pStyle w:val="Heading1"/>
        <w:spacing w:after="160"/>
      </w:pPr>
      <w:r>
        <w:t>RÀ SOÁT VÀ BỔ SUNG HOÀN THIỆN</w:t>
      </w:r>
    </w:p>
    <w:p>
      <w:pPr>
        <w:spacing w:after="100"/>
      </w:pPr>
      <w:r>
        <w:rPr>
          <w:b/>
        </w:rPr>
        <w:t xml:space="preserve">Trách nhiệm lớp. </w:t>
      </w:r>
      <w:r>
        <w:t>UserService xử lý tài khoản và phân quyền; AdService quản lý chiến dịch; ViewService xác minh token/thời lượng; WalletService quản lý sổ cái; RedemptionService xử lý đổi quà; FraudService tạo cảnh báo; AdminService ghi nhận quyết định quản trị.</w:t>
      </w:r>
    </w:p>
    <w:p>
      <w:pPr>
        <w:spacing w:after="100"/>
      </w:pPr>
      <w:r>
        <w:rPr>
          <w:b/>
        </w:rPr>
        <w:t xml:space="preserve">Nguyên tắc thiết kế. </w:t>
      </w:r>
      <w:r>
        <w:t>Giao diện không tự tính số xu có thẩm quyền. Các quy tắc nghiệp vụ và cập nhật số dư phải nằm ở lớp dịch vụ phía máy chủ, còn repository chịu trách nhiệm truy cập dữ liệu.</w:t>
      </w:r>
    </w:p>
    <w:p>
      <w:pPr>
        <w:spacing w:after="100"/>
      </w:pPr>
      <w:r>
        <w:rPr>
          <w:b/>
        </w:rPr>
        <w:t xml:space="preserve">Ràng buộc quan hệ. </w:t>
      </w:r>
      <w:r>
        <w:t>Một lượt xem hoàn tất có tối đa một giao dịch EARN; một đơn đổi quà có giao dịch REDEEM và có thể có REFUND nếu bị từ chối. Các quan hệ này cần được thể hiện nhất quán trong sơ đồ lớp và DB-03.</w:t>
      </w:r>
    </w:p>
    <w:p>
      <w:pPr>
        <w:spacing w:after="100"/>
      </w:pPr>
      <w:r>
        <w:rPr>
          <w:b/>
        </w:rPr>
        <w:t xml:space="preserve">Kiểm soát trạng thái. </w:t>
      </w:r>
      <w:r>
        <w:t>Chỉ cho phép chuyển trạng thái theo luồng hợp lệ, ví dụ PENDING → ACTIVE/REJECTED và STARTED → COMPLETED/INVALID. Lưu lịch sử thay đổi trạng thái để kiểm toán.</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