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[TEST-01] KẾ HOẠCH KIỂM THỬ</w:t>
      </w:r>
    </w:p>
    <w:p>
      <w:pPr>
        <w:jc w:val="center"/>
      </w:pPr>
      <w:r>
        <w:rPr>
          <w:i/>
        </w:rPr>
        <w:t>Đề tài: YouTube Xu – Xem quảng cáo nhận xu</w:t>
      </w:r>
    </w:p>
    <w:p>
      <w:pPr>
        <w:pStyle w:val="Heading1"/>
      </w:pPr>
      <w:r>
        <w:t>1. Mục tiêu và phạm vi</w:t>
      </w:r>
    </w:p>
    <w:p>
      <w:pPr>
        <w:pStyle w:val="ListBullet"/>
      </w:pPr>
      <w:r>
        <w:rPr>
          <w:b w:val="0"/>
          <w:i w:val="0"/>
        </w:rPr>
        <w:t>Xác nhận hệ thống đáp ứng các user story và tiêu chí nghiệm thu trong Product Backlog.</w:t>
      </w:r>
    </w:p>
    <w:p>
      <w:pPr>
        <w:pStyle w:val="ListBullet"/>
      </w:pPr>
      <w:r>
        <w:rPr>
          <w:b/>
          <w:i w:val="0"/>
        </w:rPr>
        <w:t>Trong phạm vi:</w:t>
      </w:r>
      <w:r>
        <w:rPr>
          <w:b w:val="0"/>
          <w:i w:val="0"/>
        </w:rPr>
        <w:t xml:space="preserve"> đăng ký, xem quảng cáo &amp; nhận xu, ví xu, đổi quà, tạo &amp; duyệt quảng cáo, chống gian lận.</w:t>
      </w:r>
    </w:p>
    <w:p>
      <w:pPr>
        <w:pStyle w:val="ListBullet"/>
      </w:pPr>
      <w:r>
        <w:rPr>
          <w:b/>
          <w:i w:val="0"/>
        </w:rPr>
        <w:t>Ngoài phạm vi:</w:t>
      </w:r>
      <w:r>
        <w:rPr>
          <w:b w:val="0"/>
          <w:i w:val="0"/>
        </w:rPr>
        <w:t xml:space="preserve"> thanh toán thật, ứng dụng di động native, tích hợp YouTube API chính thức (Won't Have).</w:t>
      </w:r>
    </w:p>
    <w:p>
      <w:pPr>
        <w:pStyle w:val="Heading1"/>
      </w:pPr>
      <w:r>
        <w:t>2. Chiến lược kiểm thử</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1F3864"/>
          </w:tcPr>
          <w:p>
            <w:r/>
            <w:r>
              <w:rPr>
                <w:b/>
                <w:color w:val="FFFFFF"/>
                <w:sz w:val="20"/>
              </w:rPr>
              <w:t>Mức</w:t>
            </w:r>
          </w:p>
        </w:tc>
        <w:tc>
          <w:tcPr>
            <w:tcW w:type="dxa" w:w="4819"/>
            <w:shd w:val="clear" w:color="auto" w:fill="1F3864"/>
          </w:tcPr>
          <w:p>
            <w:r/>
            <w:r>
              <w:rPr>
                <w:b/>
                <w:color w:val="FFFFFF"/>
                <w:sz w:val="20"/>
              </w:rPr>
              <w:t>Nội dung</w:t>
            </w:r>
          </w:p>
        </w:tc>
        <w:tc>
          <w:tcPr>
            <w:tcW w:type="dxa" w:w="2438"/>
            <w:shd w:val="clear" w:color="auto" w:fill="1F3864"/>
          </w:tcPr>
          <w:p>
            <w:r/>
            <w:r>
              <w:rPr>
                <w:b/>
                <w:color w:val="FFFFFF"/>
                <w:sz w:val="20"/>
              </w:rPr>
              <w:t>Công cụ</w:t>
            </w:r>
          </w:p>
        </w:tc>
      </w:tr>
      <w:tr>
        <w:tc>
          <w:tcPr>
            <w:tcW w:type="dxa" w:w="2268"/>
          </w:tcPr>
          <w:p>
            <w:r>
              <w:rPr>
                <w:sz w:val="20"/>
              </w:rPr>
            </w:r>
            <w:r>
              <w:rPr>
                <w:b w:val="0"/>
                <w:i w:val="0"/>
                <w:sz w:val="20"/>
              </w:rPr>
              <w:t>Kiểm thử đơn vị</w:t>
            </w:r>
          </w:p>
        </w:tc>
        <w:tc>
          <w:tcPr>
            <w:tcW w:type="dxa" w:w="4819"/>
          </w:tcPr>
          <w:p>
            <w:r>
              <w:rPr>
                <w:sz w:val="20"/>
              </w:rPr>
            </w:r>
            <w:r>
              <w:rPr>
                <w:b w:val="0"/>
                <w:i w:val="0"/>
                <w:sz w:val="20"/>
              </w:rPr>
              <w:t>Hàm tính xu, kiểm tra hạn mức, xác thực token, khớp đối tượng mục tiêu</w:t>
            </w:r>
          </w:p>
        </w:tc>
        <w:tc>
          <w:tcPr>
            <w:tcW w:type="dxa" w:w="2438"/>
          </w:tcPr>
          <w:p>
            <w:r>
              <w:rPr>
                <w:sz w:val="20"/>
              </w:rPr>
            </w:r>
            <w:r>
              <w:rPr>
                <w:b w:val="0"/>
                <w:i w:val="0"/>
                <w:sz w:val="20"/>
              </w:rPr>
              <w:t>JUnit / Jest</w:t>
            </w:r>
          </w:p>
        </w:tc>
      </w:tr>
      <w:tr>
        <w:tc>
          <w:tcPr>
            <w:tcW w:type="dxa" w:w="2268"/>
          </w:tcPr>
          <w:p>
            <w:r>
              <w:rPr>
                <w:sz w:val="20"/>
              </w:rPr>
            </w:r>
            <w:r>
              <w:rPr>
                <w:b w:val="0"/>
                <w:i w:val="0"/>
                <w:sz w:val="20"/>
              </w:rPr>
              <w:t>Kiểm thử tích hợp</w:t>
            </w:r>
          </w:p>
        </w:tc>
        <w:tc>
          <w:tcPr>
            <w:tcW w:type="dxa" w:w="4819"/>
          </w:tcPr>
          <w:p>
            <w:r>
              <w:rPr>
                <w:sz w:val="20"/>
              </w:rPr>
            </w:r>
            <w:r>
              <w:rPr>
                <w:b w:val="0"/>
                <w:i w:val="0"/>
                <w:sz w:val="20"/>
              </w:rPr>
              <w:t>API với CSDL: DB Transaction cộng xu, hoàn xu, giữ/nhả ngân sách</w:t>
            </w:r>
          </w:p>
        </w:tc>
        <w:tc>
          <w:tcPr>
            <w:tcW w:type="dxa" w:w="2438"/>
          </w:tcPr>
          <w:p>
            <w:r>
              <w:rPr>
                <w:sz w:val="20"/>
              </w:rPr>
            </w:r>
            <w:r>
              <w:rPr>
                <w:b w:val="0"/>
                <w:i w:val="0"/>
                <w:sz w:val="20"/>
              </w:rPr>
              <w:t>Postman, CSDL kiểm thử</w:t>
            </w:r>
          </w:p>
        </w:tc>
      </w:tr>
      <w:tr>
        <w:tc>
          <w:tcPr>
            <w:tcW w:type="dxa" w:w="2268"/>
          </w:tcPr>
          <w:p>
            <w:r>
              <w:rPr>
                <w:sz w:val="20"/>
              </w:rPr>
            </w:r>
            <w:r>
              <w:rPr>
                <w:b w:val="0"/>
                <w:i w:val="0"/>
                <w:sz w:val="20"/>
              </w:rPr>
              <w:t>Kiểm thử hệ thống (chức năng)</w:t>
            </w:r>
          </w:p>
        </w:tc>
        <w:tc>
          <w:tcPr>
            <w:tcW w:type="dxa" w:w="4819"/>
          </w:tcPr>
          <w:p>
            <w:r>
              <w:rPr>
                <w:sz w:val="20"/>
              </w:rPr>
            </w:r>
            <w:r>
              <w:rPr>
                <w:b w:val="0"/>
                <w:i w:val="0"/>
                <w:sz w:val="20"/>
              </w:rPr>
              <w:t>Chạy theo test case trong TC-01 trên giao diện web</w:t>
            </w:r>
          </w:p>
        </w:tc>
        <w:tc>
          <w:tcPr>
            <w:tcW w:type="dxa" w:w="2438"/>
          </w:tcPr>
          <w:p>
            <w:r>
              <w:rPr>
                <w:sz w:val="20"/>
              </w:rPr>
            </w:r>
            <w:r>
              <w:rPr>
                <w:b w:val="0"/>
                <w:i w:val="0"/>
                <w:sz w:val="20"/>
              </w:rPr>
              <w:t>Thủ công</w:t>
            </w:r>
          </w:p>
        </w:tc>
      </w:tr>
      <w:tr>
        <w:tc>
          <w:tcPr>
            <w:tcW w:type="dxa" w:w="2268"/>
          </w:tcPr>
          <w:p>
            <w:r>
              <w:rPr>
                <w:sz w:val="20"/>
              </w:rPr>
            </w:r>
            <w:r>
              <w:rPr>
                <w:b w:val="0"/>
                <w:i w:val="0"/>
                <w:sz w:val="20"/>
              </w:rPr>
              <w:t>Kiểm thử phi chức năng</w:t>
            </w:r>
          </w:p>
        </w:tc>
        <w:tc>
          <w:tcPr>
            <w:tcW w:type="dxa" w:w="4819"/>
          </w:tcPr>
          <w:p>
            <w:r>
              <w:rPr>
                <w:sz w:val="20"/>
              </w:rPr>
            </w:r>
            <w:r>
              <w:rPr>
                <w:b w:val="0"/>
                <w:i w:val="0"/>
                <w:sz w:val="20"/>
              </w:rPr>
              <w:t>Hiệu năng (500 người xem đồng thời), bảo mật (token, quyền truy cập), responsive</w:t>
            </w:r>
          </w:p>
        </w:tc>
        <w:tc>
          <w:tcPr>
            <w:tcW w:type="dxa" w:w="2438"/>
          </w:tcPr>
          <w:p>
            <w:r>
              <w:rPr>
                <w:sz w:val="20"/>
              </w:rPr>
            </w:r>
            <w:r>
              <w:rPr>
                <w:b w:val="0"/>
                <w:i w:val="0"/>
                <w:sz w:val="20"/>
              </w:rPr>
              <w:t>k6 / JMeter, trình duyệt di động</w:t>
            </w:r>
          </w:p>
        </w:tc>
      </w:tr>
      <w:tr>
        <w:tc>
          <w:tcPr>
            <w:tcW w:type="dxa" w:w="2268"/>
          </w:tcPr>
          <w:p>
            <w:r>
              <w:rPr>
                <w:sz w:val="20"/>
              </w:rPr>
            </w:r>
            <w:r>
              <w:rPr>
                <w:b w:val="0"/>
                <w:i w:val="0"/>
                <w:sz w:val="20"/>
              </w:rPr>
              <w:t>Kiểm thử chấp nhận</w:t>
            </w:r>
          </w:p>
        </w:tc>
        <w:tc>
          <w:tcPr>
            <w:tcW w:type="dxa" w:w="4819"/>
          </w:tcPr>
          <w:p>
            <w:r>
              <w:rPr>
                <w:sz w:val="20"/>
              </w:rPr>
            </w:r>
            <w:r>
              <w:rPr>
                <w:b w:val="0"/>
                <w:i w:val="0"/>
                <w:sz w:val="20"/>
              </w:rPr>
              <w:t>Nhóm và giảng viên đối chiếu với tiêu chí nghiệm thu</w:t>
            </w:r>
          </w:p>
        </w:tc>
        <w:tc>
          <w:tcPr>
            <w:tcW w:type="dxa" w:w="2438"/>
          </w:tcPr>
          <w:p>
            <w:r>
              <w:rPr>
                <w:sz w:val="20"/>
              </w:rPr>
            </w:r>
            <w:r>
              <w:rPr>
                <w:b w:val="0"/>
                <w:i w:val="0"/>
                <w:sz w:val="20"/>
              </w:rPr>
              <w:t>Thủ công</w:t>
            </w:r>
          </w:p>
        </w:tc>
      </w:tr>
    </w:tbl>
    <w:p/>
    <w:p>
      <w:pPr>
        <w:pStyle w:val="Heading1"/>
      </w:pPr>
      <w:r>
        <w:t>3. Môi trường</w:t>
      </w:r>
    </w:p>
    <w:p>
      <w:pPr>
        <w:pStyle w:val="ListBullet"/>
      </w:pPr>
      <w:r>
        <w:rPr>
          <w:b w:val="0"/>
          <w:i w:val="0"/>
        </w:rPr>
        <w:t>Máy chủ kiểm thử riêng và CSDL MySQL 8 với dữ liệu mẫu (DB-03).</w:t>
      </w:r>
    </w:p>
    <w:p>
      <w:pPr>
        <w:pStyle w:val="ListBullet"/>
      </w:pPr>
      <w:r>
        <w:rPr>
          <w:b w:val="0"/>
          <w:i w:val="0"/>
        </w:rPr>
        <w:t>Trình duyệt: Chrome, Safari (iOS), Edge; thiết bị: điện thoại cỡ 360×720 và máy tính.</w:t>
      </w:r>
    </w:p>
    <w:p>
      <w:pPr>
        <w:pStyle w:val="ListBullet"/>
      </w:pPr>
      <w:r>
        <w:rPr>
          <w:b w:val="0"/>
          <w:i w:val="0"/>
        </w:rPr>
        <w:t>Tài khoản mẫu: 5 người xem, 2 nhà quảng cáo, 1 admin.</w:t>
      </w:r>
    </w:p>
    <w:p>
      <w:pPr>
        <w:pStyle w:val="Heading1"/>
      </w:pPr>
      <w:r>
        <w:t>4. Tiêu chí vào / ra</w:t>
      </w:r>
    </w:p>
    <w:p>
      <w:pPr>
        <w:pStyle w:val="ListBullet"/>
      </w:pPr>
      <w:r>
        <w:rPr>
          <w:b/>
          <w:i w:val="0"/>
        </w:rPr>
        <w:t>Vào:</w:t>
      </w:r>
      <w:r>
        <w:rPr>
          <w:b w:val="0"/>
          <w:i w:val="0"/>
        </w:rPr>
        <w:t xml:space="preserve"> build ổn định, đã có dữ liệu mẫu, test case được rà soát.</w:t>
      </w:r>
    </w:p>
    <w:p>
      <w:pPr>
        <w:pStyle w:val="ListBullet"/>
      </w:pPr>
      <w:r>
        <w:rPr>
          <w:b/>
          <w:i w:val="0"/>
        </w:rPr>
        <w:t>Ra:</w:t>
      </w:r>
      <w:r>
        <w:rPr>
          <w:b w:val="0"/>
          <w:i w:val="0"/>
        </w:rPr>
        <w:t xml:space="preserve"> 100% test case mức Cao đã chạy và đạt; không còn lỗi nghiêm trọng (làm sai số dư xu, lộ quyền); ≥ 90% test case tổng thể đạt.</w:t>
      </w:r>
    </w:p>
    <w:p>
      <w:pPr>
        <w:pStyle w:val="Heading1"/>
      </w:pPr>
      <w:r>
        <w:t>5. Phân loại lỗi</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1F3864"/>
          </w:tcPr>
          <w:p>
            <w:r/>
            <w:r>
              <w:rPr>
                <w:b/>
                <w:color w:val="FFFFFF"/>
                <w:sz w:val="20"/>
              </w:rPr>
              <w:t>Mức</w:t>
            </w:r>
          </w:p>
        </w:tc>
        <w:tc>
          <w:tcPr>
            <w:tcW w:type="dxa" w:w="3969"/>
            <w:shd w:val="clear" w:color="auto" w:fill="1F3864"/>
          </w:tcPr>
          <w:p>
            <w:r/>
            <w:r>
              <w:rPr>
                <w:b/>
                <w:color w:val="FFFFFF"/>
                <w:sz w:val="20"/>
              </w:rPr>
              <w:t>Mô tả</w:t>
            </w:r>
          </w:p>
        </w:tc>
        <w:tc>
          <w:tcPr>
            <w:tcW w:type="dxa" w:w="3855"/>
            <w:shd w:val="clear" w:color="auto" w:fill="1F3864"/>
          </w:tcPr>
          <w:p>
            <w:r/>
            <w:r>
              <w:rPr>
                <w:b/>
                <w:color w:val="FFFFFF"/>
                <w:sz w:val="20"/>
              </w:rPr>
              <w:t>Ví dụ</w:t>
            </w:r>
          </w:p>
        </w:tc>
      </w:tr>
      <w:tr>
        <w:tc>
          <w:tcPr>
            <w:tcW w:type="dxa" w:w="1701"/>
          </w:tcPr>
          <w:p>
            <w:r>
              <w:rPr>
                <w:sz w:val="20"/>
              </w:rPr>
            </w:r>
            <w:r>
              <w:rPr>
                <w:b w:val="0"/>
                <w:i w:val="0"/>
                <w:sz w:val="20"/>
              </w:rPr>
              <w:t>Nghiêm trọng</w:t>
            </w:r>
          </w:p>
        </w:tc>
        <w:tc>
          <w:tcPr>
            <w:tcW w:type="dxa" w:w="3969"/>
          </w:tcPr>
          <w:p>
            <w:r>
              <w:rPr>
                <w:sz w:val="20"/>
              </w:rPr>
            </w:r>
            <w:r>
              <w:rPr>
                <w:b w:val="0"/>
                <w:i w:val="0"/>
                <w:sz w:val="20"/>
              </w:rPr>
              <w:t>Sai số dư xu hoặc lộ quyền truy cập</w:t>
            </w:r>
          </w:p>
        </w:tc>
        <w:tc>
          <w:tcPr>
            <w:tcW w:type="dxa" w:w="3855"/>
          </w:tcPr>
          <w:p>
            <w:r>
              <w:rPr>
                <w:sz w:val="20"/>
              </w:rPr>
            </w:r>
            <w:r>
              <w:rPr>
                <w:b w:val="0"/>
                <w:i w:val="0"/>
                <w:sz w:val="20"/>
              </w:rPr>
              <w:t>Cộng xu hai lần cho một lượt xem</w:t>
            </w:r>
          </w:p>
        </w:tc>
      </w:tr>
      <w:tr>
        <w:tc>
          <w:tcPr>
            <w:tcW w:type="dxa" w:w="1701"/>
          </w:tcPr>
          <w:p>
            <w:r>
              <w:rPr>
                <w:sz w:val="20"/>
              </w:rPr>
            </w:r>
            <w:r>
              <w:rPr>
                <w:b w:val="0"/>
                <w:i w:val="0"/>
                <w:sz w:val="20"/>
              </w:rPr>
              <w:t>Cao</w:t>
            </w:r>
          </w:p>
        </w:tc>
        <w:tc>
          <w:tcPr>
            <w:tcW w:type="dxa" w:w="3969"/>
          </w:tcPr>
          <w:p>
            <w:r>
              <w:rPr>
                <w:sz w:val="20"/>
              </w:rPr>
            </w:r>
            <w:r>
              <w:rPr>
                <w:b w:val="0"/>
                <w:i w:val="0"/>
                <w:sz w:val="20"/>
              </w:rPr>
              <w:t>Chức năng cốt lõi không dùng được</w:t>
            </w:r>
          </w:p>
        </w:tc>
        <w:tc>
          <w:tcPr>
            <w:tcW w:type="dxa" w:w="3855"/>
          </w:tcPr>
          <w:p>
            <w:r>
              <w:rPr>
                <w:sz w:val="20"/>
              </w:rPr>
            </w:r>
            <w:r>
              <w:rPr>
                <w:b w:val="0"/>
                <w:i w:val="0"/>
                <w:sz w:val="20"/>
              </w:rPr>
              <w:t>Không đổi được quà dù đủ xu</w:t>
            </w:r>
          </w:p>
        </w:tc>
      </w:tr>
      <w:tr>
        <w:tc>
          <w:tcPr>
            <w:tcW w:type="dxa" w:w="1701"/>
          </w:tcPr>
          <w:p>
            <w:r>
              <w:rPr>
                <w:sz w:val="20"/>
              </w:rPr>
            </w:r>
            <w:r>
              <w:rPr>
                <w:b w:val="0"/>
                <w:i w:val="0"/>
                <w:sz w:val="20"/>
              </w:rPr>
              <w:t>Trung bình</w:t>
            </w:r>
          </w:p>
        </w:tc>
        <w:tc>
          <w:tcPr>
            <w:tcW w:type="dxa" w:w="3969"/>
          </w:tcPr>
          <w:p>
            <w:r>
              <w:rPr>
                <w:sz w:val="20"/>
              </w:rPr>
            </w:r>
            <w:r>
              <w:rPr>
                <w:b w:val="0"/>
                <w:i w:val="0"/>
                <w:sz w:val="20"/>
              </w:rPr>
              <w:t>Sai hành vi nhưng có cách khắc phục</w:t>
            </w:r>
          </w:p>
        </w:tc>
        <w:tc>
          <w:tcPr>
            <w:tcW w:type="dxa" w:w="3855"/>
          </w:tcPr>
          <w:p>
            <w:r>
              <w:rPr>
                <w:sz w:val="20"/>
              </w:rPr>
            </w:r>
            <w:r>
              <w:rPr>
                <w:b w:val="0"/>
                <w:i w:val="0"/>
                <w:sz w:val="20"/>
              </w:rPr>
              <w:t>Thông báo lỗi sai nội dung</w:t>
            </w:r>
          </w:p>
        </w:tc>
      </w:tr>
      <w:tr>
        <w:tc>
          <w:tcPr>
            <w:tcW w:type="dxa" w:w="1701"/>
          </w:tcPr>
          <w:p>
            <w:r>
              <w:rPr>
                <w:sz w:val="20"/>
              </w:rPr>
            </w:r>
            <w:r>
              <w:rPr>
                <w:b w:val="0"/>
                <w:i w:val="0"/>
                <w:sz w:val="20"/>
              </w:rPr>
              <w:t>Thấp</w:t>
            </w:r>
          </w:p>
        </w:tc>
        <w:tc>
          <w:tcPr>
            <w:tcW w:type="dxa" w:w="3969"/>
          </w:tcPr>
          <w:p>
            <w:r>
              <w:rPr>
                <w:sz w:val="20"/>
              </w:rPr>
            </w:r>
            <w:r>
              <w:rPr>
                <w:b w:val="0"/>
                <w:i w:val="0"/>
                <w:sz w:val="20"/>
              </w:rPr>
              <w:t>Lỗi giao diện nhỏ</w:t>
            </w:r>
          </w:p>
        </w:tc>
        <w:tc>
          <w:tcPr>
            <w:tcW w:type="dxa" w:w="3855"/>
          </w:tcPr>
          <w:p>
            <w:r>
              <w:rPr>
                <w:sz w:val="20"/>
              </w:rPr>
            </w:r>
            <w:r>
              <w:rPr>
                <w:b w:val="0"/>
                <w:i w:val="0"/>
                <w:sz w:val="20"/>
              </w:rPr>
              <w:t>Lệch căn lề</w:t>
            </w:r>
          </w:p>
        </w:tc>
      </w:tr>
    </w:tbl>
    <w:p/>
    <w:p>
      <w:pPr>
        <w:pStyle w:val="Heading1"/>
      </w:pPr>
      <w:r>
        <w:t>6. Quản lý kết quả</w:t>
      </w:r>
    </w:p>
    <w:p>
      <w:r>
        <w:rPr>
          <w:b w:val="0"/>
          <w:i w:val="0"/>
        </w:rPr>
        <w:t>Kết quả chạy được ghi vào cột “Trạng thái” trong TC-01.xlsx (Đạt / Không đạt / Chặn); lỗi ghi vào danh sách lỗi kèm mã test case. Báo cáo kiểm thử được lập ở cuối Sprint khi có số liệu chạy thực tế.</w:t>
      </w:r>
    </w:p>
    <w:p>
      <w:r>
        <w:br w:type="page"/>
      </w:r>
    </w:p>
    <w:p>
      <w:pPr>
        <w:pStyle w:val="Heading1"/>
        <w:spacing w:after="160"/>
      </w:pPr>
      <w:r>
        <w:t>RÀ SOÁT VÀ BỔ SUNG HOÀN THIỆN</w:t>
      </w:r>
    </w:p>
    <w:p>
      <w:pPr>
        <w:spacing w:after="100"/>
      </w:pPr>
      <w:r>
        <w:rPr>
          <w:b/>
        </w:rPr>
        <w:t xml:space="preserve">Bổ sung nhóm kiểm thử bắt buộc. </w:t>
      </w:r>
      <w:r>
        <w:t>Kiểm thử gửi lặp API hoàn tất, hai yêu cầu đổi cùng mã quà, hai lượt cùng lúc làm vượt ngân sách, token hết hạn, OTP sai/quá hạn và rollback khi CSDL lỗi.</w:t>
      </w:r>
    </w:p>
    <w:p>
      <w:pPr>
        <w:spacing w:after="100"/>
      </w:pPr>
      <w:r>
        <w:rPr>
          <w:b/>
        </w:rPr>
        <w:t xml:space="preserve">Kiểm thử bảo mật. </w:t>
      </w:r>
      <w:r>
        <w:t>Thử truy cập chiến dịch của nhà quảng cáo khác, gọi API Admin bằng tài khoản Viewer, sửa user_id trong request, gửi token giả và kiểm tra dữ liệu nhạy cảm trong log.</w:t>
      </w:r>
    </w:p>
    <w:p>
      <w:pPr>
        <w:spacing w:after="100"/>
      </w:pPr>
      <w:r>
        <w:rPr>
          <w:b/>
        </w:rPr>
        <w:t xml:space="preserve">Kiểm thử số dư. </w:t>
      </w:r>
      <w:r>
        <w:t>Đối chiếu tổng các giao dịch EARN/REDEEM/REFUND/ADJUST với số dư ví; bảo đảm không cộng xu hai lần và không phát sinh số dư âm.</w:t>
      </w:r>
    </w:p>
    <w:p>
      <w:pPr>
        <w:spacing w:after="100"/>
      </w:pPr>
      <w:r>
        <w:rPr>
          <w:b/>
        </w:rPr>
        <w:t xml:space="preserve">Báo cáo kết quả. </w:t>
      </w:r>
      <w:r>
        <w:t>Với mỗi test case, ghi phiên bản build, người chạy, thời gian chạy, kết quả thực tế, bằng chứng và mã lỗi liên quan. Chỉ kết luận đạt tỷ lệ 90% sau khi đã chạy thật; không điền trước kết quả chưa kiểm thử.</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