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2DCB75" w14:textId="77777777" w:rsidR="005F7433" w:rsidRDefault="005F7433" w:rsidP="006230F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Step 1</w:t>
      </w:r>
    </w:p>
    <w:p w14:paraId="03E3385A" w14:textId="39DE3CE5" w:rsidR="005F7433" w:rsidRDefault="006230FC" w:rsidP="005F7433">
      <w:pPr>
        <w:rPr>
          <w:noProof/>
        </w:rPr>
      </w:pPr>
      <w:r>
        <w:rPr>
          <w:noProof/>
        </w:rPr>
        <w:t>D</w:t>
      </w:r>
      <w:r w:rsidR="005F7433">
        <w:rPr>
          <w:noProof/>
        </w:rPr>
        <w:t xml:space="preserve">ownload the elastix toolbox binary files from </w:t>
      </w:r>
      <w:hyperlink r:id="rId5" w:history="1">
        <w:r w:rsidRPr="008C365E">
          <w:rPr>
            <w:rStyle w:val="Hyperlink"/>
            <w:noProof/>
          </w:rPr>
          <w:t>http://elastix.isi.uu.nl/download.php</w:t>
        </w:r>
      </w:hyperlink>
      <w:r>
        <w:rPr>
          <w:noProof/>
        </w:rPr>
        <w:t>,</w:t>
      </w:r>
    </w:p>
    <w:p w14:paraId="03F290A2" w14:textId="42F064FB" w:rsidR="006230FC" w:rsidRDefault="006230FC" w:rsidP="005F7433">
      <w:pPr>
        <w:rPr>
          <w:noProof/>
        </w:rPr>
      </w:pPr>
      <w:r>
        <w:rPr>
          <w:noProof/>
        </w:rPr>
        <w:t>Or you can find the binary files in the folder /elastix.</w:t>
      </w:r>
      <w:bookmarkStart w:id="0" w:name="_GoBack"/>
      <w:bookmarkEnd w:id="0"/>
    </w:p>
    <w:p w14:paraId="3EF57716" w14:textId="77777777" w:rsidR="005F7433" w:rsidRDefault="005F7433" w:rsidP="006230F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Step</w:t>
      </w:r>
      <w:r>
        <w:rPr>
          <w:noProof/>
        </w:rPr>
        <w:t xml:space="preserve"> 2</w:t>
      </w:r>
    </w:p>
    <w:p w14:paraId="5B4DEC9D" w14:textId="2C4C8148" w:rsidR="006230FC" w:rsidRDefault="006230FC" w:rsidP="005F7433">
      <w:pPr>
        <w:rPr>
          <w:noProof/>
        </w:rPr>
      </w:pPr>
      <w:r>
        <w:rPr>
          <w:noProof/>
        </w:rPr>
        <w:t>A</w:t>
      </w:r>
      <w:r w:rsidR="005F7433">
        <w:rPr>
          <w:noProof/>
        </w:rPr>
        <w:t>dd the elastix toolbox to the system PATH</w:t>
      </w:r>
      <w:r>
        <w:rPr>
          <w:noProof/>
        </w:rPr>
        <w:t>; (paste the binary files folder direction to the PATH)</w:t>
      </w:r>
    </w:p>
    <w:p w14:paraId="464E4ECE" w14:textId="44E11922" w:rsidR="006230FC" w:rsidRDefault="006230FC" w:rsidP="005F743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B78737" wp14:editId="2D30C488">
                <wp:simplePos x="0" y="0"/>
                <wp:positionH relativeFrom="column">
                  <wp:posOffset>2526492</wp:posOffset>
                </wp:positionH>
                <wp:positionV relativeFrom="paragraph">
                  <wp:posOffset>227183</wp:posOffset>
                </wp:positionV>
                <wp:extent cx="116283" cy="2013736"/>
                <wp:effectExtent l="19050" t="19050" r="55245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83" cy="2013736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237F7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95pt,17.9pt" to="208.1pt,1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" strokecolor="red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47EB2" wp14:editId="7A4E8038">
                <wp:simplePos x="0" y="0"/>
                <wp:positionH relativeFrom="column">
                  <wp:posOffset>1384215</wp:posOffset>
                </wp:positionH>
                <wp:positionV relativeFrom="paragraph">
                  <wp:posOffset>2091528</wp:posOffset>
                </wp:positionV>
                <wp:extent cx="1088823" cy="306562"/>
                <wp:effectExtent l="19050" t="19050" r="35560" b="368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823" cy="30656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70864" id="Rectangle 6" o:spid="_x0000_s1026" style="position:absolute;margin-left:109pt;margin-top:164.7pt;width:85.75pt;height:2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35AB2354" wp14:editId="26E893EC">
            <wp:extent cx="4767565" cy="273880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006" cy="27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3200" w14:textId="77777777" w:rsidR="006230FC" w:rsidRDefault="006230FC" w:rsidP="005F7433">
      <w:pPr>
        <w:rPr>
          <w:noProof/>
        </w:rPr>
      </w:pPr>
    </w:p>
    <w:p w14:paraId="4842A459" w14:textId="77777777" w:rsidR="005F7433" w:rsidRDefault="005F7433" w:rsidP="006230F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Step 3</w:t>
      </w:r>
    </w:p>
    <w:p w14:paraId="3FA7D63B" w14:textId="36B1EE1D" w:rsidR="005F7433" w:rsidRDefault="005F7433">
      <w:pPr>
        <w:rPr>
          <w:noProof/>
        </w:rPr>
      </w:pPr>
      <w:r>
        <w:rPr>
          <w:noProof/>
        </w:rPr>
        <w:t xml:space="preserve">Run the file downsampleHist.m in folder /01_preprocess to down sample the histology image. In the processing, you will be required to manually corp out the prostate ROI bounding box. According </w:t>
      </w:r>
      <w:r w:rsidR="006230FC">
        <w:rPr>
          <w:noProof/>
        </w:rPr>
        <w:t xml:space="preserve">to </w:t>
      </w:r>
      <w:r>
        <w:rPr>
          <w:noProof/>
        </w:rPr>
        <w:t xml:space="preserve">the size of the bounding box, the origianl histopathology image is downsampled. </w:t>
      </w:r>
      <w:r w:rsidR="006230FC">
        <w:rPr>
          <w:noProof/>
        </w:rPr>
        <w:t xml:space="preserve"> (as shown in the following figure)</w:t>
      </w:r>
    </w:p>
    <w:p w14:paraId="24D25E7E" w14:textId="0E0863A0" w:rsidR="00FF1F02" w:rsidRDefault="005F7433">
      <w:pPr>
        <w:rPr>
          <w:noProof/>
        </w:rPr>
      </w:pPr>
      <w:r>
        <w:rPr>
          <w:noProof/>
        </w:rPr>
        <w:drawing>
          <wp:inline distT="0" distB="0" distL="0" distR="0" wp14:anchorId="1123EA8D" wp14:editId="29E9DE32">
            <wp:extent cx="2400906" cy="2400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943" cy="242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4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FDE146" wp14:editId="25B7DFA2">
            <wp:extent cx="3440892" cy="207666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484" cy="20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38B5" w14:textId="77777777" w:rsidR="006230FC" w:rsidRDefault="005F7433" w:rsidP="006230F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Step 4 </w:t>
      </w:r>
    </w:p>
    <w:p w14:paraId="357FBF12" w14:textId="7DA5D14B" w:rsidR="005F7433" w:rsidRDefault="006230FC" w:rsidP="006230FC">
      <w:pPr>
        <w:rPr>
          <w:noProof/>
        </w:rPr>
      </w:pPr>
      <w:r>
        <w:rPr>
          <w:noProof/>
        </w:rPr>
        <w:t>A</w:t>
      </w:r>
      <w:r w:rsidR="005F7433">
        <w:rPr>
          <w:noProof/>
        </w:rPr>
        <w:t>ffine registration</w:t>
      </w:r>
    </w:p>
    <w:p w14:paraId="00D1F155" w14:textId="110953D1" w:rsidR="005F7433" w:rsidRDefault="00F30C03">
      <w:pPr>
        <w:rPr>
          <w:noProof/>
        </w:rPr>
      </w:pPr>
      <w:r>
        <w:rPr>
          <w:noProof/>
        </w:rPr>
        <w:t>Run the file affineMain.m in folder \02_affine_registration</w:t>
      </w:r>
    </w:p>
    <w:p w14:paraId="2DE1358B" w14:textId="419C8A55" w:rsidR="00F30C03" w:rsidRDefault="00F30C03">
      <w:pPr>
        <w:rPr>
          <w:noProof/>
        </w:rPr>
      </w:pPr>
      <w:r>
        <w:rPr>
          <w:noProof/>
        </w:rPr>
        <w:t>Step 5 spectral embedding representation calculation</w:t>
      </w:r>
    </w:p>
    <w:p w14:paraId="2D73C203" w14:textId="4F3C5D03" w:rsidR="00F30C03" w:rsidRDefault="00A365AB">
      <w:r>
        <w:t>Run the file SE_main.m in folder \03_SEcalc;</w:t>
      </w:r>
    </w:p>
    <w:p w14:paraId="0CFCB503" w14:textId="77777777" w:rsidR="006230FC" w:rsidRDefault="00A365AB" w:rsidP="006230FC">
      <w:pPr>
        <w:pStyle w:val="ListParagraph"/>
        <w:numPr>
          <w:ilvl w:val="0"/>
          <w:numId w:val="1"/>
        </w:numPr>
      </w:pPr>
      <w:r>
        <w:rPr>
          <w:noProof/>
        </w:rPr>
        <w:t>Step</w:t>
      </w:r>
      <w:r>
        <w:t xml:space="preserve"> </w:t>
      </w:r>
      <w:r w:rsidR="006230FC">
        <w:t>5</w:t>
      </w:r>
      <w:r w:rsidR="00BC646D">
        <w:t xml:space="preserve"> </w:t>
      </w:r>
    </w:p>
    <w:p w14:paraId="59C92B82" w14:textId="5D5B273A" w:rsidR="00A365AB" w:rsidRDefault="00BC646D" w:rsidP="006230FC">
      <w:r>
        <w:t>MSERg</w:t>
      </w:r>
    </w:p>
    <w:p w14:paraId="3C757E1F" w14:textId="33AA5151" w:rsidR="00BC646D" w:rsidRDefault="00BC646D">
      <w:r>
        <w:t xml:space="preserve">Run the file MSERGmain.mat </w:t>
      </w:r>
      <w:r w:rsidR="006230FC">
        <w:t xml:space="preserve">in folder \04_MSERg </w:t>
      </w:r>
      <w:r>
        <w:t>to start the registration</w:t>
      </w:r>
      <w:r w:rsidR="00915C25">
        <w:t>.</w:t>
      </w:r>
    </w:p>
    <w:p w14:paraId="7EF83D83" w14:textId="7533EA3B" w:rsidR="00915C25" w:rsidRDefault="00915C25">
      <w:r>
        <w:t>To visualize the registration result, the code will require you to crop out part of the background of the transformed histology images to adjus</w:t>
      </w:r>
      <w:r w:rsidR="006230FC">
        <w:t>t the background intensity to 0. (as shown in the following figure)</w:t>
      </w:r>
    </w:p>
    <w:p w14:paraId="74E42F6A" w14:textId="44D28745" w:rsidR="00915C25" w:rsidRDefault="00915C25">
      <w:r>
        <w:rPr>
          <w:noProof/>
        </w:rPr>
        <w:drawing>
          <wp:inline distT="0" distB="0" distL="0" distR="0" wp14:anchorId="5600C2F3" wp14:editId="2118AEA0">
            <wp:extent cx="1982081" cy="19293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2965" cy="19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3D8D" w14:textId="6B23627D" w:rsidR="006230FC" w:rsidRDefault="006230FC">
      <w:r>
        <w:t>The visualization results are shown in the following figure. The left images illustrate the landmark alignment results. (cyan landmarks on MRI and red on the histology image)</w:t>
      </w:r>
    </w:p>
    <w:p w14:paraId="200E7DA7" w14:textId="77777777" w:rsidR="006230FC" w:rsidRDefault="006230FC"/>
    <w:p w14:paraId="5C3AB1F5" w14:textId="2AE26FD7" w:rsidR="00BC646D" w:rsidRDefault="00915C25">
      <w:r>
        <w:rPr>
          <w:noProof/>
        </w:rPr>
        <w:drawing>
          <wp:inline distT="0" distB="0" distL="0" distR="0" wp14:anchorId="029E7882" wp14:editId="35A4FBD9">
            <wp:extent cx="5943600" cy="2654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B387A"/>
    <w:multiLevelType w:val="hybridMultilevel"/>
    <w:tmpl w:val="9E6E7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33"/>
    <w:rsid w:val="00197F07"/>
    <w:rsid w:val="00210B47"/>
    <w:rsid w:val="005F7433"/>
    <w:rsid w:val="006230FC"/>
    <w:rsid w:val="006B1131"/>
    <w:rsid w:val="006E2DC8"/>
    <w:rsid w:val="006E51DC"/>
    <w:rsid w:val="007A03F3"/>
    <w:rsid w:val="008613EF"/>
    <w:rsid w:val="00915C25"/>
    <w:rsid w:val="00967308"/>
    <w:rsid w:val="00994D04"/>
    <w:rsid w:val="00A365AB"/>
    <w:rsid w:val="00AF5615"/>
    <w:rsid w:val="00B762F6"/>
    <w:rsid w:val="00BC646D"/>
    <w:rsid w:val="00DA13AE"/>
    <w:rsid w:val="00DF1D31"/>
    <w:rsid w:val="00E35AC3"/>
    <w:rsid w:val="00F30C03"/>
    <w:rsid w:val="00F5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D35A"/>
  <w15:chartTrackingRefBased/>
  <w15:docId w15:val="{F178E908-10A2-4C46-B811-6481E95D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0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3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elastix.isi.uu.nl/download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Li</dc:creator>
  <cp:keywords/>
  <dc:description/>
  <cp:lastModifiedBy>Lin Li</cp:lastModifiedBy>
  <cp:revision>5</cp:revision>
  <dcterms:created xsi:type="dcterms:W3CDTF">2017-05-23T15:43:00Z</dcterms:created>
  <dcterms:modified xsi:type="dcterms:W3CDTF">2017-05-23T19:50:00Z</dcterms:modified>
</cp:coreProperties>
</file>