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CF38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62D76C3C" w14:textId="77777777" w:rsidR="000A5B38" w:rsidRPr="005C2D83" w:rsidRDefault="00680F12" w:rsidP="00F93AEF">
      <w:pPr>
        <w:rPr>
          <w:rFonts w:ascii="Century" w:hAnsi="Century"/>
          <w:color w:val="000000" w:themeColor="text1"/>
          <w:sz w:val="24"/>
          <w:szCs w:val="24"/>
        </w:rPr>
      </w:pPr>
      <w:r w:rsidRPr="005C2D83">
        <w:rPr>
          <w:rFonts w:ascii="Century" w:hAnsi="Century"/>
          <w:b/>
          <w:color w:val="000000" w:themeColor="text1"/>
          <w:sz w:val="24"/>
          <w:szCs w:val="24"/>
        </w:rPr>
        <w:t>GRC102 – INFORMATION SECURITY GOVERNANCE</w:t>
      </w:r>
    </w:p>
    <w:p w14:paraId="7D603247" w14:textId="77777777" w:rsidR="000A5B38" w:rsidRPr="005C2D83" w:rsidRDefault="00680F12" w:rsidP="00F93AEF">
      <w:pPr>
        <w:rPr>
          <w:rFonts w:ascii="Century" w:hAnsi="Century"/>
          <w:color w:val="000000" w:themeColor="text1"/>
          <w:sz w:val="24"/>
          <w:szCs w:val="24"/>
        </w:rPr>
      </w:pPr>
      <w:r w:rsidRPr="005C2D83">
        <w:rPr>
          <w:rFonts w:ascii="Century" w:hAnsi="Century"/>
          <w:b/>
          <w:color w:val="000000" w:themeColor="text1"/>
          <w:sz w:val="24"/>
          <w:szCs w:val="24"/>
        </w:rPr>
        <w:t>WEEK 3 PRACTICAL LABORATORY</w:t>
      </w:r>
    </w:p>
    <w:p w14:paraId="1F326CB7" w14:textId="38A164FF" w:rsidR="000A5B38" w:rsidRPr="005C2D83" w:rsidRDefault="00680F12">
      <w:pPr>
        <w:rPr>
          <w:rFonts w:ascii="Century" w:hAnsi="Century"/>
          <w:color w:val="000000" w:themeColor="text1"/>
          <w:sz w:val="24"/>
          <w:szCs w:val="24"/>
        </w:rPr>
      </w:pPr>
      <w:proofErr w:type="spellStart"/>
      <w:r w:rsidRPr="005C2D83">
        <w:rPr>
          <w:rFonts w:ascii="Century" w:hAnsi="Century"/>
          <w:b/>
          <w:color w:val="000000" w:themeColor="text1"/>
          <w:sz w:val="24"/>
          <w:szCs w:val="24"/>
        </w:rPr>
        <w:t>TechGlobal</w:t>
      </w:r>
      <w:proofErr w:type="spellEnd"/>
      <w:r w:rsidRPr="005C2D83">
        <w:rPr>
          <w:rFonts w:ascii="Century" w:hAnsi="Century"/>
          <w:b/>
          <w:color w:val="000000" w:themeColor="text1"/>
          <w:sz w:val="24"/>
          <w:szCs w:val="24"/>
        </w:rPr>
        <w:t xml:space="preserve"> Governance Transformation Simulation</w:t>
      </w:r>
    </w:p>
    <w:p w14:paraId="110C89F8" w14:textId="77777777" w:rsidR="000A5B38" w:rsidRPr="005C2D83" w:rsidRDefault="00680F12">
      <w:pPr>
        <w:pStyle w:val="Titre1"/>
        <w:rPr>
          <w:rFonts w:ascii="Century" w:hAnsi="Century"/>
          <w:color w:val="000000" w:themeColor="text1"/>
          <w:sz w:val="22"/>
          <w:szCs w:val="22"/>
        </w:rPr>
      </w:pPr>
      <w:r w:rsidRPr="005C2D83">
        <w:rPr>
          <w:rFonts w:ascii="Century" w:hAnsi="Century"/>
          <w:color w:val="000000" w:themeColor="text1"/>
          <w:sz w:val="22"/>
          <w:szCs w:val="22"/>
        </w:rPr>
        <w:t>TASK 1 — GOVERNANCE ARCHITECTURE AND STAKEHOLDER MAP</w:t>
      </w:r>
    </w:p>
    <w:p w14:paraId="2915ADCF" w14:textId="77777777" w:rsidR="000A5B38" w:rsidRPr="005C2D83" w:rsidRDefault="00680F12">
      <w:pPr>
        <w:pStyle w:val="Titre2"/>
        <w:rPr>
          <w:rFonts w:ascii="Century" w:hAnsi="Century"/>
          <w:color w:val="000000" w:themeColor="text1"/>
          <w:sz w:val="22"/>
          <w:szCs w:val="22"/>
        </w:rPr>
      </w:pPr>
      <w:r w:rsidRPr="005C2D83">
        <w:rPr>
          <w:rFonts w:ascii="Century" w:hAnsi="Century"/>
          <w:color w:val="000000" w:themeColor="text1"/>
          <w:sz w:val="22"/>
          <w:szCs w:val="22"/>
        </w:rPr>
        <w:t>1.1 Governance Gap Assessment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27"/>
        <w:gridCol w:w="3264"/>
      </w:tblGrid>
      <w:tr w:rsidR="005C2D83" w:rsidRPr="005C2D83" w14:paraId="0CE4F73F" w14:textId="77777777" w:rsidTr="00F93AEF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B9B95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ID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5307071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Current Governance Weakness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FA876D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Business / Risk Consequence</w:t>
            </w:r>
          </w:p>
        </w:tc>
      </w:tr>
      <w:tr w:rsidR="005C2D83" w:rsidRPr="005C2D83" w14:paraId="7F01D7EA" w14:textId="77777777" w:rsidTr="00F93AEF">
        <w:trPr>
          <w:jc w:val="center"/>
        </w:trPr>
        <w:tc>
          <w:tcPr>
            <w:tcW w:w="1701" w:type="dxa"/>
          </w:tcPr>
          <w:p w14:paraId="46EDE22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G1</w:t>
            </w:r>
          </w:p>
        </w:tc>
        <w:tc>
          <w:tcPr>
            <w:tcW w:w="4827" w:type="dxa"/>
          </w:tcPr>
          <w:p w14:paraId="2F091FAC" w14:textId="15BD088D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authority is concentrated in the IT Director</w:t>
            </w:r>
          </w:p>
        </w:tc>
        <w:tc>
          <w:tcPr>
            <w:tcW w:w="3264" w:type="dxa"/>
          </w:tcPr>
          <w:p w14:paraId="0C10E3DA" w14:textId="0FFDD4FA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potential accountability conflicts.</w:t>
            </w:r>
          </w:p>
        </w:tc>
      </w:tr>
      <w:tr w:rsidR="005C2D83" w:rsidRPr="005C2D83" w14:paraId="00253132" w14:textId="77777777" w:rsidTr="00F93AEF">
        <w:trPr>
          <w:jc w:val="center"/>
        </w:trPr>
        <w:tc>
          <w:tcPr>
            <w:tcW w:w="1701" w:type="dxa"/>
          </w:tcPr>
          <w:p w14:paraId="04C5354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G2</w:t>
            </w:r>
          </w:p>
        </w:tc>
        <w:tc>
          <w:tcPr>
            <w:tcW w:w="4827" w:type="dxa"/>
          </w:tcPr>
          <w:p w14:paraId="1C99B5A5" w14:textId="0329D942" w:rsidR="000A5B38" w:rsidRPr="005C2D83" w:rsidRDefault="00F93AEF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and Board have limited visibility into cyber risk</w:t>
            </w:r>
          </w:p>
        </w:tc>
        <w:tc>
          <w:tcPr>
            <w:tcW w:w="3264" w:type="dxa"/>
          </w:tcPr>
          <w:p w14:paraId="4FDA2E0B" w14:textId="10A1459A" w:rsidR="000A5B38" w:rsidRPr="005C2D83" w:rsidRDefault="00F93AEF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Strategic decision-makers may lack sufficient information about material cyber exposure</w:t>
            </w:r>
            <w:r w:rsidRPr="005C2D83">
              <w:rPr>
                <w:rFonts w:ascii="Century" w:hAnsi="Century"/>
                <w:color w:val="000000" w:themeColor="text1"/>
              </w:rPr>
              <w:t xml:space="preserve"> </w:t>
            </w:r>
          </w:p>
        </w:tc>
      </w:tr>
      <w:tr w:rsidR="005C2D83" w:rsidRPr="005C2D83" w14:paraId="54521AB3" w14:textId="77777777" w:rsidTr="00F93AEF">
        <w:trPr>
          <w:jc w:val="center"/>
        </w:trPr>
        <w:tc>
          <w:tcPr>
            <w:tcW w:w="1701" w:type="dxa"/>
          </w:tcPr>
          <w:p w14:paraId="2DDCEC6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G3</w:t>
            </w:r>
          </w:p>
        </w:tc>
        <w:tc>
          <w:tcPr>
            <w:tcW w:w="4827" w:type="dxa"/>
          </w:tcPr>
          <w:p w14:paraId="0F672AAE" w14:textId="134215C4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No reliable escalation path exists</w:t>
            </w:r>
          </w:p>
        </w:tc>
        <w:tc>
          <w:tcPr>
            <w:tcW w:w="3264" w:type="dxa"/>
          </w:tcPr>
          <w:p w14:paraId="03DD1A99" w14:textId="6DA47A98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Material cyber risks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 are</w:t>
            </w:r>
            <w:r w:rsidRPr="005C2D83">
              <w:rPr>
                <w:rFonts w:ascii="Century" w:hAnsi="Century"/>
                <w:color w:val="000000" w:themeColor="text1"/>
              </w:rPr>
              <w:t xml:space="preserve"> not reach executive management or the Board in a timely manner.</w:t>
            </w:r>
          </w:p>
        </w:tc>
      </w:tr>
      <w:tr w:rsidR="005C2D83" w:rsidRPr="005C2D83" w14:paraId="72799673" w14:textId="77777777" w:rsidTr="00F93AEF">
        <w:trPr>
          <w:jc w:val="center"/>
        </w:trPr>
        <w:tc>
          <w:tcPr>
            <w:tcW w:w="1701" w:type="dxa"/>
          </w:tcPr>
          <w:p w14:paraId="6CD72AE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G4</w:t>
            </w:r>
          </w:p>
        </w:tc>
        <w:tc>
          <w:tcPr>
            <w:tcW w:w="4827" w:type="dxa"/>
          </w:tcPr>
          <w:p w14:paraId="1596C780" w14:textId="3AA12D95" w:rsidR="000A5B38" w:rsidRPr="005C2D83" w:rsidRDefault="00F93AEF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Security ownership and decision authority are insufficiently </w:t>
            </w:r>
            <w:r w:rsidRPr="005C2D83">
              <w:rPr>
                <w:rFonts w:ascii="Century" w:hAnsi="Century"/>
                <w:color w:val="000000" w:themeColor="text1"/>
              </w:rPr>
              <w:t>separated.</w:t>
            </w:r>
          </w:p>
        </w:tc>
        <w:tc>
          <w:tcPr>
            <w:tcW w:w="3264" w:type="dxa"/>
          </w:tcPr>
          <w:p w14:paraId="547047A6" w14:textId="16DF1253" w:rsidR="000A5B38" w:rsidRPr="005C2D83" w:rsidRDefault="00C70DF6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</w:t>
            </w:r>
            <w:r w:rsidRPr="005C2D83">
              <w:rPr>
                <w:rFonts w:ascii="Century" w:hAnsi="Century"/>
                <w:color w:val="000000" w:themeColor="text1"/>
              </w:rPr>
              <w:t>urity decisions are made without a review.</w:t>
            </w:r>
          </w:p>
        </w:tc>
      </w:tr>
      <w:tr w:rsidR="005C2D83" w:rsidRPr="005C2D83" w14:paraId="12A4A509" w14:textId="77777777" w:rsidTr="00F93AEF">
        <w:trPr>
          <w:jc w:val="center"/>
        </w:trPr>
        <w:tc>
          <w:tcPr>
            <w:tcW w:w="1701" w:type="dxa"/>
          </w:tcPr>
          <w:p w14:paraId="3D8DB03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G5</w:t>
            </w:r>
          </w:p>
        </w:tc>
        <w:tc>
          <w:tcPr>
            <w:tcW w:w="4827" w:type="dxa"/>
          </w:tcPr>
          <w:p w14:paraId="7FAEF4BD" w14:textId="300979F9" w:rsidR="00F93AEF" w:rsidRPr="005C2D83" w:rsidRDefault="00F93AEF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absence formal security governance committee</w:t>
            </w:r>
          </w:p>
        </w:tc>
        <w:tc>
          <w:tcPr>
            <w:tcW w:w="3264" w:type="dxa"/>
          </w:tcPr>
          <w:p w14:paraId="75EFFC08" w14:textId="4A1D51F0" w:rsidR="000A5B38" w:rsidRPr="005C2D83" w:rsidRDefault="00C70DF6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of unclear accountability and conflicting responsibilities</w:t>
            </w:r>
            <w:r w:rsidRPr="005C2D83">
              <w:rPr>
                <w:rFonts w:ascii="Century" w:hAnsi="Century"/>
                <w:color w:val="000000" w:themeColor="text1"/>
              </w:rPr>
              <w:t xml:space="preserve"> </w:t>
            </w:r>
          </w:p>
        </w:tc>
      </w:tr>
      <w:tr w:rsidR="005C2D83" w:rsidRPr="005C2D83" w14:paraId="33E0245A" w14:textId="77777777" w:rsidTr="00F93AEF">
        <w:trPr>
          <w:jc w:val="center"/>
        </w:trPr>
        <w:tc>
          <w:tcPr>
            <w:tcW w:w="1701" w:type="dxa"/>
          </w:tcPr>
          <w:p w14:paraId="515C13E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G6</w:t>
            </w:r>
          </w:p>
        </w:tc>
        <w:tc>
          <w:tcPr>
            <w:tcW w:w="4827" w:type="dxa"/>
          </w:tcPr>
          <w:p w14:paraId="547533C7" w14:textId="1A22FF8F" w:rsidR="000A5B38" w:rsidRPr="005C2D83" w:rsidRDefault="00F93AEF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Units make local security decisions inconsistently</w:t>
            </w:r>
          </w:p>
        </w:tc>
        <w:tc>
          <w:tcPr>
            <w:tcW w:w="3264" w:type="dxa"/>
          </w:tcPr>
          <w:p w14:paraId="2F503A7A" w14:textId="402C7EB1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.</w:t>
            </w:r>
            <w:r w:rsidR="00C70DF6" w:rsidRPr="005C2D83">
              <w:rPr>
                <w:color w:val="000000" w:themeColor="text1"/>
              </w:rPr>
              <w:t xml:space="preserve"> 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Security controls and practices </w:t>
            </w:r>
            <w:r w:rsidR="00C70DF6" w:rsidRPr="005C2D83">
              <w:rPr>
                <w:rFonts w:ascii="Century" w:hAnsi="Century"/>
                <w:color w:val="000000" w:themeColor="text1"/>
              </w:rPr>
              <w:t>are different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 across the </w:t>
            </w:r>
            <w:r w:rsidR="00C70DF6" w:rsidRPr="005C2D83">
              <w:rPr>
                <w:rFonts w:ascii="Century" w:hAnsi="Century"/>
                <w:color w:val="000000" w:themeColor="text1"/>
              </w:rPr>
              <w:t>organization</w:t>
            </w:r>
            <w:r w:rsidR="00C70DF6" w:rsidRPr="005C2D83">
              <w:rPr>
                <w:rFonts w:ascii="Century" w:hAnsi="Century"/>
                <w:color w:val="000000" w:themeColor="text1"/>
              </w:rPr>
              <w:t>.</w:t>
            </w:r>
          </w:p>
        </w:tc>
      </w:tr>
      <w:tr w:rsidR="005C2D83" w:rsidRPr="005C2D83" w14:paraId="2A69E064" w14:textId="77777777" w:rsidTr="00F93AEF">
        <w:trPr>
          <w:jc w:val="center"/>
        </w:trPr>
        <w:tc>
          <w:tcPr>
            <w:tcW w:w="1701" w:type="dxa"/>
          </w:tcPr>
          <w:p w14:paraId="38DF55D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G7</w:t>
            </w:r>
          </w:p>
        </w:tc>
        <w:tc>
          <w:tcPr>
            <w:tcW w:w="4827" w:type="dxa"/>
          </w:tcPr>
          <w:p w14:paraId="6AED7F2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Risk </w:t>
            </w:r>
            <w:r w:rsidRPr="005C2D83">
              <w:rPr>
                <w:rFonts w:ascii="Century" w:hAnsi="Century"/>
                <w:color w:val="000000" w:themeColor="text1"/>
              </w:rPr>
              <w:t>management is not sufficiently integrated with enterprise governance.</w:t>
            </w:r>
          </w:p>
        </w:tc>
        <w:tc>
          <w:tcPr>
            <w:tcW w:w="3264" w:type="dxa"/>
          </w:tcPr>
          <w:p w14:paraId="34332D9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Cyber risks may not be consistently aggregated, treated and escalated.</w:t>
            </w:r>
          </w:p>
        </w:tc>
      </w:tr>
    </w:tbl>
    <w:p w14:paraId="3AD21593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2892798D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1.2 Stakeholder Map — Appendix A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1756"/>
        <w:gridCol w:w="2793"/>
        <w:gridCol w:w="1761"/>
        <w:gridCol w:w="1915"/>
      </w:tblGrid>
      <w:tr w:rsidR="005C2D83" w:rsidRPr="005C2D83" w14:paraId="78C30E61" w14:textId="77777777" w:rsidTr="00DB59EF">
        <w:trPr>
          <w:jc w:val="center"/>
        </w:trPr>
        <w:tc>
          <w:tcPr>
            <w:tcW w:w="1935" w:type="dxa"/>
            <w:shd w:val="clear" w:color="auto" w:fill="auto"/>
            <w:vAlign w:val="center"/>
          </w:tcPr>
          <w:p w14:paraId="164DE53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Stakeholder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455E9A3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Authority / Influence</w:t>
            </w:r>
          </w:p>
        </w:tc>
        <w:tc>
          <w:tcPr>
            <w:tcW w:w="3046" w:type="dxa"/>
            <w:shd w:val="clear" w:color="auto" w:fill="auto"/>
            <w:vAlign w:val="center"/>
          </w:tcPr>
          <w:p w14:paraId="594FDF4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Primary Interest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835FE8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Information Needed</w:t>
            </w:r>
          </w:p>
        </w:tc>
        <w:tc>
          <w:tcPr>
            <w:tcW w:w="1952" w:type="dxa"/>
            <w:shd w:val="clear" w:color="auto" w:fill="auto"/>
            <w:vAlign w:val="center"/>
          </w:tcPr>
          <w:p w14:paraId="7A71BF4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Governance</w:t>
            </w:r>
            <w:r w:rsidRPr="005C2D83">
              <w:rPr>
                <w:rFonts w:ascii="Century" w:hAnsi="Century"/>
                <w:b/>
                <w:color w:val="000000" w:themeColor="text1"/>
              </w:rPr>
              <w:t xml:space="preserve"> Contribution</w:t>
            </w:r>
          </w:p>
        </w:tc>
      </w:tr>
      <w:tr w:rsidR="005C2D83" w:rsidRPr="005C2D83" w14:paraId="2682D124" w14:textId="77777777" w:rsidTr="00DB59EF">
        <w:trPr>
          <w:jc w:val="center"/>
        </w:trPr>
        <w:tc>
          <w:tcPr>
            <w:tcW w:w="1935" w:type="dxa"/>
          </w:tcPr>
          <w:p w14:paraId="6E0BA37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Board of Directors</w:t>
            </w:r>
          </w:p>
        </w:tc>
        <w:tc>
          <w:tcPr>
            <w:tcW w:w="1931" w:type="dxa"/>
          </w:tcPr>
          <w:p w14:paraId="4F8BBCD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Very High</w:t>
            </w:r>
          </w:p>
        </w:tc>
        <w:tc>
          <w:tcPr>
            <w:tcW w:w="3046" w:type="dxa"/>
          </w:tcPr>
          <w:p w14:paraId="3ED75FA3" w14:textId="08F7C985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Risk appetite, </w:t>
            </w:r>
            <w:r w:rsidR="00C70DF6" w:rsidRPr="005C2D83">
              <w:rPr>
                <w:rFonts w:ascii="Century" w:hAnsi="Century"/>
                <w:color w:val="000000" w:themeColor="text1"/>
              </w:rPr>
              <w:t>material risk, assurance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 </w:t>
            </w:r>
            <w:r w:rsidRPr="005C2D83">
              <w:rPr>
                <w:rFonts w:ascii="Century" w:hAnsi="Century"/>
                <w:color w:val="000000" w:themeColor="text1"/>
              </w:rPr>
              <w:t>regulatory exposure, reputation</w:t>
            </w:r>
          </w:p>
        </w:tc>
        <w:tc>
          <w:tcPr>
            <w:tcW w:w="1144" w:type="dxa"/>
          </w:tcPr>
          <w:p w14:paraId="677CD584" w14:textId="5E87FA79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Material cyber risks, 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risk 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trends, </w:t>
            </w:r>
            <w:r w:rsidRPr="005C2D83">
              <w:rPr>
                <w:rFonts w:ascii="Century" w:hAnsi="Century"/>
                <w:color w:val="000000" w:themeColor="text1"/>
              </w:rPr>
              <w:t>incidents</w:t>
            </w:r>
            <w:proofErr w:type="gramStart"/>
            <w:r w:rsidRPr="005C2D83">
              <w:rPr>
                <w:rFonts w:ascii="Century" w:hAnsi="Century"/>
                <w:color w:val="000000" w:themeColor="text1"/>
              </w:rPr>
              <w:t xml:space="preserve">, </w:t>
            </w:r>
            <w:r w:rsidRPr="005C2D83">
              <w:rPr>
                <w:rFonts w:ascii="Century" w:hAnsi="Century"/>
                <w:color w:val="000000" w:themeColor="text1"/>
              </w:rPr>
              <w:t>,</w:t>
            </w:r>
            <w:proofErr w:type="gramEnd"/>
            <w:r w:rsidRPr="005C2D83">
              <w:rPr>
                <w:rFonts w:ascii="Century" w:hAnsi="Century"/>
                <w:color w:val="000000" w:themeColor="text1"/>
              </w:rPr>
              <w:t xml:space="preserve"> assurance results</w:t>
            </w:r>
          </w:p>
        </w:tc>
        <w:tc>
          <w:tcPr>
            <w:tcW w:w="1952" w:type="dxa"/>
          </w:tcPr>
          <w:p w14:paraId="3B1818F9" w14:textId="0DEDF228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Oversight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 </w:t>
            </w:r>
            <w:r w:rsidRPr="005C2D83">
              <w:rPr>
                <w:rFonts w:ascii="Century" w:hAnsi="Century"/>
                <w:color w:val="000000" w:themeColor="text1"/>
              </w:rPr>
              <w:t>and accountability</w:t>
            </w:r>
          </w:p>
        </w:tc>
      </w:tr>
      <w:tr w:rsidR="005C2D83" w:rsidRPr="005C2D83" w14:paraId="4E6ABE0A" w14:textId="77777777" w:rsidTr="00DB59EF">
        <w:trPr>
          <w:jc w:val="center"/>
        </w:trPr>
        <w:tc>
          <w:tcPr>
            <w:tcW w:w="1935" w:type="dxa"/>
          </w:tcPr>
          <w:p w14:paraId="039E0CE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</w:t>
            </w:r>
          </w:p>
        </w:tc>
        <w:tc>
          <w:tcPr>
            <w:tcW w:w="1931" w:type="dxa"/>
          </w:tcPr>
          <w:p w14:paraId="61619D9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Very High</w:t>
            </w:r>
          </w:p>
        </w:tc>
        <w:tc>
          <w:tcPr>
            <w:tcW w:w="3046" w:type="dxa"/>
          </w:tcPr>
          <w:p w14:paraId="78E748A6" w14:textId="37F4BE73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Executive accountability,</w:t>
            </w:r>
            <w:r w:rsidR="00C70DF6" w:rsidRPr="005C2D83">
              <w:rPr>
                <w:color w:val="000000" w:themeColor="text1"/>
              </w:rPr>
              <w:t xml:space="preserve"> </w:t>
            </w:r>
            <w:r w:rsidR="00C70DF6" w:rsidRPr="005C2D83">
              <w:rPr>
                <w:rFonts w:ascii="Century" w:hAnsi="Century"/>
                <w:color w:val="000000" w:themeColor="text1"/>
              </w:rPr>
              <w:t>strategic alignment</w:t>
            </w:r>
            <w:r w:rsidRPr="005C2D83">
              <w:rPr>
                <w:rFonts w:ascii="Century" w:hAnsi="Century"/>
                <w:color w:val="000000" w:themeColor="text1"/>
              </w:rPr>
              <w:t xml:space="preserve">, </w:t>
            </w:r>
            <w:r w:rsidRPr="005C2D83">
              <w:rPr>
                <w:rFonts w:ascii="Century" w:hAnsi="Century"/>
                <w:color w:val="000000" w:themeColor="text1"/>
              </w:rPr>
              <w:t>acceptable risk</w:t>
            </w:r>
          </w:p>
        </w:tc>
        <w:tc>
          <w:tcPr>
            <w:tcW w:w="1144" w:type="dxa"/>
          </w:tcPr>
          <w:p w14:paraId="5BDAFB3E" w14:textId="64EF4F0A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impact, material risks,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 </w:t>
            </w:r>
            <w:proofErr w:type="spellStart"/>
            <w:r w:rsidR="00C70DF6" w:rsidRPr="005C2D83">
              <w:rPr>
                <w:rFonts w:ascii="Century" w:hAnsi="Century"/>
                <w:color w:val="000000" w:themeColor="text1"/>
              </w:rPr>
              <w:t>programme</w:t>
            </w:r>
            <w:proofErr w:type="spellEnd"/>
            <w:r w:rsidR="00C70DF6" w:rsidRPr="005C2D83">
              <w:rPr>
                <w:rFonts w:ascii="Century" w:hAnsi="Century"/>
                <w:color w:val="000000" w:themeColor="text1"/>
              </w:rPr>
              <w:t xml:space="preserve"> effectiveness</w:t>
            </w:r>
            <w:r w:rsidRPr="005C2D83">
              <w:rPr>
                <w:rFonts w:ascii="Century" w:hAnsi="Century"/>
                <w:color w:val="000000" w:themeColor="text1"/>
              </w:rPr>
              <w:t xml:space="preserve">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 xml:space="preserve">major decisions, </w:t>
            </w:r>
          </w:p>
        </w:tc>
        <w:tc>
          <w:tcPr>
            <w:tcW w:w="1952" w:type="dxa"/>
          </w:tcPr>
          <w:p w14:paraId="7AE56BF0" w14:textId="21A0DFB5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>strategic decision-making</w:t>
            </w:r>
          </w:p>
        </w:tc>
      </w:tr>
      <w:tr w:rsidR="005C2D83" w:rsidRPr="005C2D83" w14:paraId="0A746C09" w14:textId="77777777" w:rsidTr="00DB59EF">
        <w:trPr>
          <w:jc w:val="center"/>
        </w:trPr>
        <w:tc>
          <w:tcPr>
            <w:tcW w:w="1935" w:type="dxa"/>
          </w:tcPr>
          <w:p w14:paraId="7009562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</w:t>
            </w:r>
          </w:p>
        </w:tc>
        <w:tc>
          <w:tcPr>
            <w:tcW w:w="1931" w:type="dxa"/>
          </w:tcPr>
          <w:p w14:paraId="313C06A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</w:t>
            </w:r>
          </w:p>
        </w:tc>
        <w:tc>
          <w:tcPr>
            <w:tcW w:w="3046" w:type="dxa"/>
          </w:tcPr>
          <w:p w14:paraId="66D88D95" w14:textId="6973270C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strategy, policy, risk oversight</w:t>
            </w:r>
          </w:p>
        </w:tc>
        <w:tc>
          <w:tcPr>
            <w:tcW w:w="1144" w:type="dxa"/>
          </w:tcPr>
          <w:p w14:paraId="1CBC8790" w14:textId="0A389E6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Threats, incidents, vulnerabilities, security metric</w:t>
            </w:r>
            <w:r w:rsidR="00C70DF6" w:rsidRPr="005C2D83">
              <w:rPr>
                <w:rFonts w:ascii="Century" w:hAnsi="Century"/>
                <w:color w:val="000000" w:themeColor="text1"/>
              </w:rPr>
              <w:t>s</w:t>
            </w:r>
            <w:r w:rsidRPr="005C2D83">
              <w:rPr>
                <w:rFonts w:ascii="Century" w:hAnsi="Century"/>
                <w:color w:val="000000" w:themeColor="text1"/>
              </w:rPr>
              <w:t>, risk register</w:t>
            </w:r>
          </w:p>
        </w:tc>
        <w:tc>
          <w:tcPr>
            <w:tcW w:w="1952" w:type="dxa"/>
          </w:tcPr>
          <w:p w14:paraId="07A9718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governance leadership</w:t>
            </w:r>
          </w:p>
        </w:tc>
      </w:tr>
      <w:tr w:rsidR="005C2D83" w:rsidRPr="005C2D83" w14:paraId="317B4073" w14:textId="77777777" w:rsidTr="00DB59EF">
        <w:trPr>
          <w:jc w:val="center"/>
        </w:trPr>
        <w:tc>
          <w:tcPr>
            <w:tcW w:w="1935" w:type="dxa"/>
          </w:tcPr>
          <w:p w14:paraId="2F6146A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CRO / Risk</w:t>
            </w:r>
          </w:p>
        </w:tc>
        <w:tc>
          <w:tcPr>
            <w:tcW w:w="1931" w:type="dxa"/>
          </w:tcPr>
          <w:p w14:paraId="41E01CA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</w:t>
            </w:r>
          </w:p>
        </w:tc>
        <w:tc>
          <w:tcPr>
            <w:tcW w:w="3046" w:type="dxa"/>
          </w:tcPr>
          <w:p w14:paraId="4DB918E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Enterprise risk integration, risk methodology and aggregation</w:t>
            </w:r>
          </w:p>
        </w:tc>
        <w:tc>
          <w:tcPr>
            <w:tcW w:w="1144" w:type="dxa"/>
          </w:tcPr>
          <w:p w14:paraId="50FD19A7" w14:textId="59BC3AB1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Risk assessments, </w:t>
            </w:r>
            <w:r w:rsidR="00C70DF6" w:rsidRPr="005C2D83">
              <w:rPr>
                <w:rFonts w:ascii="Century" w:hAnsi="Century"/>
                <w:color w:val="000000" w:themeColor="text1"/>
              </w:rPr>
              <w:t xml:space="preserve">treatment </w:t>
            </w:r>
            <w:proofErr w:type="spellStart"/>
            <w:proofErr w:type="gramStart"/>
            <w:r w:rsidR="00C70DF6" w:rsidRPr="005C2D83">
              <w:rPr>
                <w:rFonts w:ascii="Century" w:hAnsi="Century"/>
                <w:color w:val="000000" w:themeColor="text1"/>
              </w:rPr>
              <w:t>status,</w:t>
            </w:r>
            <w:r w:rsidRPr="005C2D83">
              <w:rPr>
                <w:rFonts w:ascii="Century" w:hAnsi="Century"/>
                <w:color w:val="000000" w:themeColor="text1"/>
              </w:rPr>
              <w:t>residual</w:t>
            </w:r>
            <w:proofErr w:type="spellEnd"/>
            <w:proofErr w:type="gramEnd"/>
            <w:r w:rsidRPr="005C2D83">
              <w:rPr>
                <w:rFonts w:ascii="Century" w:hAnsi="Century"/>
                <w:color w:val="000000" w:themeColor="text1"/>
              </w:rPr>
              <w:t xml:space="preserve"> risk, </w:t>
            </w:r>
            <w:r w:rsidRPr="005C2D83">
              <w:rPr>
                <w:rFonts w:ascii="Century" w:hAnsi="Century"/>
                <w:color w:val="000000" w:themeColor="text1"/>
              </w:rPr>
              <w:t>risk</w:t>
            </w:r>
            <w:r w:rsidRPr="005C2D83">
              <w:rPr>
                <w:rFonts w:ascii="Century" w:hAnsi="Century"/>
                <w:color w:val="000000" w:themeColor="text1"/>
              </w:rPr>
              <w:t xml:space="preserve"> trends</w:t>
            </w:r>
          </w:p>
        </w:tc>
        <w:tc>
          <w:tcPr>
            <w:tcW w:w="1952" w:type="dxa"/>
          </w:tcPr>
          <w:p w14:paraId="18CDFD4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methodology, challenge and aggregation</w:t>
            </w:r>
          </w:p>
        </w:tc>
      </w:tr>
      <w:tr w:rsidR="005C2D83" w:rsidRPr="005C2D83" w14:paraId="06692760" w14:textId="77777777" w:rsidTr="00DB59EF">
        <w:trPr>
          <w:jc w:val="center"/>
        </w:trPr>
        <w:tc>
          <w:tcPr>
            <w:tcW w:w="1935" w:type="dxa"/>
          </w:tcPr>
          <w:p w14:paraId="60644E9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Legal / Compliance</w:t>
            </w:r>
          </w:p>
        </w:tc>
        <w:tc>
          <w:tcPr>
            <w:tcW w:w="1931" w:type="dxa"/>
          </w:tcPr>
          <w:p w14:paraId="03272C3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 advisory influence</w:t>
            </w:r>
          </w:p>
        </w:tc>
        <w:tc>
          <w:tcPr>
            <w:tcW w:w="3046" w:type="dxa"/>
          </w:tcPr>
          <w:p w14:paraId="10D88A36" w14:textId="53BB75F4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Regulatory duties</w:t>
            </w:r>
            <w:proofErr w:type="gramStart"/>
            <w:r w:rsidRPr="005C2D83">
              <w:rPr>
                <w:rFonts w:ascii="Century" w:hAnsi="Century"/>
                <w:color w:val="000000" w:themeColor="text1"/>
              </w:rPr>
              <w:t xml:space="preserve">, </w:t>
            </w:r>
            <w:r w:rsidRPr="005C2D83">
              <w:rPr>
                <w:rFonts w:ascii="Century" w:hAnsi="Century"/>
                <w:color w:val="000000" w:themeColor="text1"/>
              </w:rPr>
              <w:t>,</w:t>
            </w:r>
            <w:proofErr w:type="gramEnd"/>
            <w:r w:rsidRPr="005C2D83">
              <w:rPr>
                <w:rFonts w:ascii="Century" w:hAnsi="Century"/>
                <w:color w:val="000000" w:themeColor="text1"/>
              </w:rPr>
              <w:t xml:space="preserve"> privacy and evidence</w:t>
            </w:r>
          </w:p>
        </w:tc>
        <w:tc>
          <w:tcPr>
            <w:tcW w:w="1144" w:type="dxa"/>
          </w:tcPr>
          <w:p w14:paraId="5E3AE4A0" w14:textId="373D53BD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Incidents, regulatory exposure</w:t>
            </w:r>
            <w:r w:rsidRPr="005C2D83">
              <w:rPr>
                <w:rFonts w:ascii="Century" w:hAnsi="Century"/>
                <w:color w:val="000000" w:themeColor="text1"/>
              </w:rPr>
              <w:t>, privacy implications</w:t>
            </w:r>
          </w:p>
        </w:tc>
        <w:tc>
          <w:tcPr>
            <w:tcW w:w="1952" w:type="dxa"/>
          </w:tcPr>
          <w:p w14:paraId="1461C90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Legal and regulat</w:t>
            </w:r>
            <w:r w:rsidRPr="005C2D83">
              <w:rPr>
                <w:rFonts w:ascii="Century" w:hAnsi="Century"/>
                <w:color w:val="000000" w:themeColor="text1"/>
              </w:rPr>
              <w:t>ory advice</w:t>
            </w:r>
          </w:p>
        </w:tc>
      </w:tr>
      <w:tr w:rsidR="005C2D83" w:rsidRPr="005C2D83" w14:paraId="014910C3" w14:textId="77777777" w:rsidTr="00DB59EF">
        <w:trPr>
          <w:jc w:val="center"/>
        </w:trPr>
        <w:tc>
          <w:tcPr>
            <w:tcW w:w="1935" w:type="dxa"/>
          </w:tcPr>
          <w:p w14:paraId="0B18329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Finance</w:t>
            </w:r>
          </w:p>
        </w:tc>
        <w:tc>
          <w:tcPr>
            <w:tcW w:w="1931" w:type="dxa"/>
          </w:tcPr>
          <w:p w14:paraId="3A59A4D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 financial authority</w:t>
            </w:r>
          </w:p>
        </w:tc>
        <w:tc>
          <w:tcPr>
            <w:tcW w:w="3046" w:type="dxa"/>
          </w:tcPr>
          <w:p w14:paraId="1C15D21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Budget, loss exposure, investment prioritisation</w:t>
            </w:r>
          </w:p>
        </w:tc>
        <w:tc>
          <w:tcPr>
            <w:tcW w:w="1144" w:type="dxa"/>
          </w:tcPr>
          <w:p w14:paraId="0C291A6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investment requirements, losses, financial impact</w:t>
            </w:r>
          </w:p>
        </w:tc>
        <w:tc>
          <w:tcPr>
            <w:tcW w:w="1952" w:type="dxa"/>
          </w:tcPr>
          <w:p w14:paraId="1FE7237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Financial governance and investment oversight</w:t>
            </w:r>
          </w:p>
        </w:tc>
      </w:tr>
      <w:tr w:rsidR="005C2D83" w:rsidRPr="005C2D83" w14:paraId="38080F49" w14:textId="77777777" w:rsidTr="00DB59EF">
        <w:trPr>
          <w:jc w:val="center"/>
        </w:trPr>
        <w:tc>
          <w:tcPr>
            <w:tcW w:w="1935" w:type="dxa"/>
          </w:tcPr>
          <w:p w14:paraId="6B14AB9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HR</w:t>
            </w:r>
          </w:p>
        </w:tc>
        <w:tc>
          <w:tcPr>
            <w:tcW w:w="1931" w:type="dxa"/>
          </w:tcPr>
          <w:p w14:paraId="13083DF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 people-governance authority</w:t>
            </w:r>
          </w:p>
        </w:tc>
        <w:tc>
          <w:tcPr>
            <w:tcW w:w="3046" w:type="dxa"/>
          </w:tcPr>
          <w:p w14:paraId="3E3D037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Joiner/mover/leaver controls, awareness, conduct</w:t>
            </w:r>
          </w:p>
        </w:tc>
        <w:tc>
          <w:tcPr>
            <w:tcW w:w="1144" w:type="dxa"/>
          </w:tcPr>
          <w:p w14:paraId="45BADFE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Workforce changes, awareness results, disciplinary matters</w:t>
            </w:r>
          </w:p>
        </w:tc>
        <w:tc>
          <w:tcPr>
            <w:tcW w:w="1952" w:type="dxa"/>
          </w:tcPr>
          <w:p w14:paraId="2D2D259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People governance</w:t>
            </w:r>
          </w:p>
        </w:tc>
      </w:tr>
      <w:tr w:rsidR="005C2D83" w:rsidRPr="005C2D83" w14:paraId="3F1435FF" w14:textId="77777777" w:rsidTr="00DB59EF">
        <w:trPr>
          <w:jc w:val="center"/>
        </w:trPr>
        <w:tc>
          <w:tcPr>
            <w:tcW w:w="1935" w:type="dxa"/>
          </w:tcPr>
          <w:p w14:paraId="283F3FE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/ Technology</w:t>
            </w:r>
          </w:p>
        </w:tc>
        <w:tc>
          <w:tcPr>
            <w:tcW w:w="1931" w:type="dxa"/>
          </w:tcPr>
          <w:p w14:paraId="1D837FB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 operational authority</w:t>
            </w:r>
          </w:p>
        </w:tc>
        <w:tc>
          <w:tcPr>
            <w:tcW w:w="3046" w:type="dxa"/>
          </w:tcPr>
          <w:p w14:paraId="58C6B66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Secure operation, implementation, continuity</w:t>
            </w:r>
          </w:p>
        </w:tc>
        <w:tc>
          <w:tcPr>
            <w:tcW w:w="1144" w:type="dxa"/>
          </w:tcPr>
          <w:p w14:paraId="5A4FF54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Technical risks, vulnerabilities, archite</w:t>
            </w:r>
            <w:r w:rsidRPr="005C2D83">
              <w:rPr>
                <w:rFonts w:ascii="Century" w:hAnsi="Century"/>
                <w:color w:val="000000" w:themeColor="text1"/>
              </w:rPr>
              <w:t>cture and control status</w:t>
            </w:r>
          </w:p>
        </w:tc>
        <w:tc>
          <w:tcPr>
            <w:tcW w:w="1952" w:type="dxa"/>
          </w:tcPr>
          <w:p w14:paraId="4882055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Technical implementation and operational control ownership</w:t>
            </w:r>
          </w:p>
        </w:tc>
      </w:tr>
      <w:tr w:rsidR="005C2D83" w:rsidRPr="005C2D83" w14:paraId="35BC1270" w14:textId="77777777" w:rsidTr="00DB59EF">
        <w:trPr>
          <w:jc w:val="center"/>
        </w:trPr>
        <w:tc>
          <w:tcPr>
            <w:tcW w:w="1935" w:type="dxa"/>
          </w:tcPr>
          <w:p w14:paraId="05684B7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Unit Leaders</w:t>
            </w:r>
          </w:p>
        </w:tc>
        <w:tc>
          <w:tcPr>
            <w:tcW w:w="1931" w:type="dxa"/>
          </w:tcPr>
          <w:p w14:paraId="0D24915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 business influence</w:t>
            </w:r>
          </w:p>
        </w:tc>
        <w:tc>
          <w:tcPr>
            <w:tcW w:w="3046" w:type="dxa"/>
          </w:tcPr>
          <w:p w14:paraId="4EE8806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Operational performance, local risk and control implementation</w:t>
            </w:r>
          </w:p>
        </w:tc>
        <w:tc>
          <w:tcPr>
            <w:tcW w:w="1144" w:type="dxa"/>
          </w:tcPr>
          <w:p w14:paraId="489312C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impact, local risks, required controls</w:t>
            </w:r>
          </w:p>
        </w:tc>
        <w:tc>
          <w:tcPr>
            <w:tcW w:w="1952" w:type="dxa"/>
          </w:tcPr>
          <w:p w14:paraId="4D439BC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owner</w:t>
            </w:r>
            <w:r w:rsidRPr="005C2D83">
              <w:rPr>
                <w:rFonts w:ascii="Century" w:hAnsi="Century"/>
                <w:color w:val="000000" w:themeColor="text1"/>
              </w:rPr>
              <w:t>ship and implementation</w:t>
            </w:r>
          </w:p>
        </w:tc>
      </w:tr>
    </w:tbl>
    <w:p w14:paraId="0B1C10CE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4EBD7891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1.3 Security Governance </w:t>
      </w:r>
      <w:proofErr w:type="spellStart"/>
      <w:r w:rsidRPr="005C2D83">
        <w:rPr>
          <w:rFonts w:ascii="Century" w:hAnsi="Century"/>
          <w:color w:val="000000" w:themeColor="text1"/>
        </w:rPr>
        <w:t>Organisation</w:t>
      </w:r>
      <w:proofErr w:type="spellEnd"/>
      <w:r w:rsidRPr="005C2D83">
        <w:rPr>
          <w:rFonts w:ascii="Century" w:hAnsi="Century"/>
          <w:color w:val="000000" w:themeColor="text1"/>
        </w:rPr>
        <w:t xml:space="preserve"> Chart</w:t>
      </w:r>
    </w:p>
    <w:p w14:paraId="55C72253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Proposed governance structure:</w:t>
      </w:r>
    </w:p>
    <w:p w14:paraId="537CA73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BOARD OF DIRECTORS</w:t>
      </w:r>
    </w:p>
    <w:p w14:paraId="7027B362" w14:textId="607678C1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</w:t>
      </w:r>
      <w:proofErr w:type="gramStart"/>
      <w:r w:rsidRPr="005C2D83">
        <w:rPr>
          <w:rFonts w:ascii="Century" w:hAnsi="Century"/>
          <w:color w:val="000000" w:themeColor="text1"/>
        </w:rPr>
        <w:t>│  Oversight</w:t>
      </w:r>
      <w:proofErr w:type="gramEnd"/>
    </w:p>
    <w:p w14:paraId="3E199E9A" w14:textId="36DB1D93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▼</w:t>
      </w:r>
    </w:p>
    <w:p w14:paraId="77E65847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lastRenderedPageBreak/>
        <w:t xml:space="preserve">      CEO</w:t>
      </w:r>
    </w:p>
    <w:p w14:paraId="5AD58FEE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│</w:t>
      </w:r>
    </w:p>
    <w:p w14:paraId="4DFF8C4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├──────────────► CRO / RISK</w:t>
      </w:r>
    </w:p>
    <w:p w14:paraId="5FB5726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│</w:t>
      </w:r>
    </w:p>
    <w:p w14:paraId="4EF3E2B7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▼</w:t>
      </w:r>
    </w:p>
    <w:p w14:paraId="7D4D70E0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EXECUTIVE SECURITY </w:t>
      </w:r>
      <w:r w:rsidRPr="005C2D83">
        <w:rPr>
          <w:rFonts w:ascii="Century" w:hAnsi="Century"/>
          <w:color w:val="000000" w:themeColor="text1"/>
        </w:rPr>
        <w:t>COUNCIL</w:t>
      </w:r>
    </w:p>
    <w:p w14:paraId="1EF03EE2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│</w:t>
      </w:r>
    </w:p>
    <w:p w14:paraId="01A9212C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▼</w:t>
      </w:r>
    </w:p>
    <w:p w14:paraId="506A49E2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SECURITY GOVERNANCE / STEERING COMMITTEE</w:t>
      </w:r>
    </w:p>
    <w:p w14:paraId="18A1461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│</w:t>
      </w:r>
    </w:p>
    <w:p w14:paraId="7E0A76E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┌────┼────────┬─────────┬─────────┐</w:t>
      </w:r>
    </w:p>
    <w:p w14:paraId="728095F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▼    ▼        ▼         ▼         ▼</w:t>
      </w:r>
    </w:p>
    <w:p w14:paraId="4A06365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CISO  Legal   Finance     HR        IT</w:t>
      </w:r>
    </w:p>
    <w:p w14:paraId="6B5E989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│</w:t>
      </w:r>
    </w:p>
    <w:p w14:paraId="270FD60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▼</w:t>
      </w:r>
    </w:p>
    <w:p w14:paraId="2592C55A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SPECIALISED SECURITY WORKING GROUP</w:t>
      </w:r>
    </w:p>
    <w:p w14:paraId="0AA9DC60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│</w:t>
      </w:r>
    </w:p>
    <w:p w14:paraId="3177F7B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▼</w:t>
      </w:r>
    </w:p>
    <w:p w14:paraId="6266DABB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BUSINESS UNIT REPRESENTATIVES</w:t>
      </w:r>
    </w:p>
    <w:p w14:paraId="1EE21B11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1.4 Governance and Communication Flow</w:t>
      </w:r>
    </w:p>
    <w:p w14:paraId="63351A90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Operational issues → IT / Business Units → Security Governance Committee → Executive Security Council → CEO → Board, when the issue is material.</w:t>
      </w:r>
    </w:p>
    <w:p w14:paraId="0748F9C8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1.5 Consultant Justification</w:t>
      </w:r>
    </w:p>
    <w:p w14:paraId="15A31D9D" w14:textId="150B70DE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The proposed s</w:t>
      </w:r>
      <w:r w:rsidRPr="005C2D83">
        <w:rPr>
          <w:rFonts w:ascii="Century" w:hAnsi="Century"/>
          <w:color w:val="000000" w:themeColor="text1"/>
        </w:rPr>
        <w:t>tructure is appropriate for an organisation of approximately 2,500 employees across five offices because it separates</w:t>
      </w:r>
      <w:r w:rsidR="00DB59EF" w:rsidRPr="005C2D83">
        <w:rPr>
          <w:rFonts w:ascii="Century" w:hAnsi="Century"/>
          <w:color w:val="000000" w:themeColor="text1"/>
        </w:rPr>
        <w:t xml:space="preserve"> this </w:t>
      </w:r>
      <w:proofErr w:type="gramStart"/>
      <w:r w:rsidR="00DB59EF" w:rsidRPr="005C2D83">
        <w:rPr>
          <w:rFonts w:ascii="Century" w:hAnsi="Century"/>
          <w:color w:val="000000" w:themeColor="text1"/>
        </w:rPr>
        <w:t>elements(</w:t>
      </w:r>
      <w:proofErr w:type="gramEnd"/>
      <w:r w:rsidR="00DB59EF" w:rsidRPr="005C2D83">
        <w:rPr>
          <w:rFonts w:ascii="Century" w:hAnsi="Century"/>
          <w:color w:val="000000" w:themeColor="text1"/>
        </w:rPr>
        <w:t>strategic</w:t>
      </w:r>
      <w:r w:rsidRPr="005C2D83">
        <w:rPr>
          <w:rFonts w:ascii="Century" w:hAnsi="Century"/>
          <w:color w:val="000000" w:themeColor="text1"/>
        </w:rPr>
        <w:t xml:space="preserve"> oversight, executive accountability, security leadership, enterprise risk integration, specialist advice, technical execution an</w:t>
      </w:r>
      <w:r w:rsidRPr="005C2D83">
        <w:rPr>
          <w:rFonts w:ascii="Century" w:hAnsi="Century"/>
          <w:color w:val="000000" w:themeColor="text1"/>
        </w:rPr>
        <w:t>d business ownership</w:t>
      </w:r>
      <w:r w:rsidR="00DB59EF" w:rsidRPr="005C2D83">
        <w:rPr>
          <w:rFonts w:ascii="Century" w:hAnsi="Century"/>
          <w:color w:val="000000" w:themeColor="text1"/>
        </w:rPr>
        <w:t xml:space="preserve">) and </w:t>
      </w:r>
      <w:r w:rsidRPr="005C2D83">
        <w:rPr>
          <w:rFonts w:ascii="Century" w:hAnsi="Century"/>
          <w:color w:val="000000" w:themeColor="text1"/>
        </w:rPr>
        <w:t>creates a formal route for material cyber risks to move from operational teams to executive management and, where appropriate, the Board.</w:t>
      </w:r>
    </w:p>
    <w:p w14:paraId="2DB3CD1A" w14:textId="77777777" w:rsidR="000A5B38" w:rsidRPr="005C2D83" w:rsidRDefault="00680F12">
      <w:pPr>
        <w:pStyle w:val="Titre1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lastRenderedPageBreak/>
        <w:t>TASK 2 — GOVERNANCE RESPONSIBILITY AND AUTHORITY MATRIX</w:t>
      </w:r>
    </w:p>
    <w:p w14:paraId="65D039B5" w14:textId="108C12D1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2.1 Governance Responsibility Ma</w:t>
      </w:r>
      <w:r w:rsidRPr="005C2D83">
        <w:rPr>
          <w:rFonts w:ascii="Century" w:hAnsi="Century"/>
          <w:color w:val="000000" w:themeColor="text1"/>
        </w:rPr>
        <w:t xml:space="preserve">trix </w:t>
      </w:r>
    </w:p>
    <w:p w14:paraId="2F6D9D0F" w14:textId="77777777" w:rsidR="00DB59EF" w:rsidRPr="005C2D83" w:rsidRDefault="00DB59EF" w:rsidP="00DB59EF">
      <w:pPr>
        <w:rPr>
          <w:color w:val="000000" w:themeColor="text1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27"/>
        <w:gridCol w:w="1612"/>
        <w:gridCol w:w="2157"/>
        <w:gridCol w:w="1789"/>
        <w:gridCol w:w="1345"/>
        <w:gridCol w:w="1778"/>
      </w:tblGrid>
      <w:tr w:rsidR="005C2D83" w:rsidRPr="005C2D83" w14:paraId="35763AD5" w14:textId="77777777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14:paraId="0042B7B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Role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1A8F7F1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Purpose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0E0C50E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Core Responsibilities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0987ABA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Decision Authority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4D1D30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Reports / Escalates To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098EAD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KPIs / Evidence</w:t>
            </w:r>
          </w:p>
        </w:tc>
      </w:tr>
      <w:tr w:rsidR="005C2D83" w:rsidRPr="005C2D83" w14:paraId="0AB891A9" w14:textId="77777777">
        <w:trPr>
          <w:jc w:val="center"/>
        </w:trPr>
        <w:tc>
          <w:tcPr>
            <w:tcW w:w="1632" w:type="dxa"/>
          </w:tcPr>
          <w:p w14:paraId="13BBD99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Board</w:t>
            </w:r>
          </w:p>
        </w:tc>
        <w:tc>
          <w:tcPr>
            <w:tcW w:w="1632" w:type="dxa"/>
          </w:tcPr>
          <w:p w14:paraId="28984CE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Provide oversight and accountability.</w:t>
            </w:r>
          </w:p>
        </w:tc>
        <w:tc>
          <w:tcPr>
            <w:tcW w:w="1632" w:type="dxa"/>
          </w:tcPr>
          <w:p w14:paraId="75CA1C5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appetite; material cyber-risk oversight; assurance.</w:t>
            </w:r>
          </w:p>
        </w:tc>
        <w:tc>
          <w:tcPr>
            <w:tcW w:w="1632" w:type="dxa"/>
          </w:tcPr>
          <w:p w14:paraId="65AE362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Board-level oversight and decisions within </w:t>
            </w:r>
            <w:r w:rsidRPr="005C2D83">
              <w:rPr>
                <w:rFonts w:ascii="Century" w:hAnsi="Century"/>
                <w:color w:val="000000" w:themeColor="text1"/>
              </w:rPr>
              <w:t>Board authority.</w:t>
            </w:r>
          </w:p>
        </w:tc>
        <w:tc>
          <w:tcPr>
            <w:tcW w:w="1632" w:type="dxa"/>
          </w:tcPr>
          <w:p w14:paraId="6761773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Receives material cyber-risk reports from CEO.</w:t>
            </w:r>
          </w:p>
        </w:tc>
        <w:tc>
          <w:tcPr>
            <w:tcW w:w="1632" w:type="dxa"/>
          </w:tcPr>
          <w:p w14:paraId="2127B0D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Board reporting timeliness; material risk reviews.</w:t>
            </w:r>
          </w:p>
        </w:tc>
      </w:tr>
      <w:tr w:rsidR="005C2D83" w:rsidRPr="005C2D83" w14:paraId="12F580F1" w14:textId="77777777">
        <w:trPr>
          <w:jc w:val="center"/>
        </w:trPr>
        <w:tc>
          <w:tcPr>
            <w:tcW w:w="1632" w:type="dxa"/>
          </w:tcPr>
          <w:p w14:paraId="65B8BA8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</w:t>
            </w:r>
          </w:p>
        </w:tc>
        <w:tc>
          <w:tcPr>
            <w:tcW w:w="1632" w:type="dxa"/>
          </w:tcPr>
          <w:p w14:paraId="7AD9182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Provide executive accountability.</w:t>
            </w:r>
          </w:p>
        </w:tc>
        <w:tc>
          <w:tcPr>
            <w:tcW w:w="1632" w:type="dxa"/>
          </w:tcPr>
          <w:p w14:paraId="75813A3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Strategic alignment; acceptable risk; business performance.</w:t>
            </w:r>
          </w:p>
        </w:tc>
        <w:tc>
          <w:tcPr>
            <w:tcW w:w="1632" w:type="dxa"/>
          </w:tcPr>
          <w:p w14:paraId="79A3D92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Executive decisions within </w:t>
            </w:r>
            <w:r w:rsidRPr="005C2D83">
              <w:rPr>
                <w:rFonts w:ascii="Century" w:hAnsi="Century"/>
                <w:color w:val="000000" w:themeColor="text1"/>
              </w:rPr>
              <w:t>delegated authority.</w:t>
            </w:r>
          </w:p>
        </w:tc>
        <w:tc>
          <w:tcPr>
            <w:tcW w:w="1632" w:type="dxa"/>
          </w:tcPr>
          <w:p w14:paraId="1DCE806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Board.</w:t>
            </w:r>
          </w:p>
        </w:tc>
        <w:tc>
          <w:tcPr>
            <w:tcW w:w="1632" w:type="dxa"/>
          </w:tcPr>
          <w:p w14:paraId="162134D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decision turnaround; strategic initiatives assessed for cyber risk.</w:t>
            </w:r>
          </w:p>
        </w:tc>
      </w:tr>
      <w:tr w:rsidR="005C2D83" w:rsidRPr="005C2D83" w14:paraId="21840C9E" w14:textId="77777777">
        <w:trPr>
          <w:jc w:val="center"/>
        </w:trPr>
        <w:tc>
          <w:tcPr>
            <w:tcW w:w="1632" w:type="dxa"/>
          </w:tcPr>
          <w:p w14:paraId="6F6046A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</w:t>
            </w:r>
          </w:p>
        </w:tc>
        <w:tc>
          <w:tcPr>
            <w:tcW w:w="1632" w:type="dxa"/>
          </w:tcPr>
          <w:p w14:paraId="5B849D0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Lead security governance.</w:t>
            </w:r>
          </w:p>
        </w:tc>
        <w:tc>
          <w:tcPr>
            <w:tcW w:w="1632" w:type="dxa"/>
          </w:tcPr>
          <w:p w14:paraId="098A417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strategy; policies; risk oversight; programme effectiveness.</w:t>
            </w:r>
          </w:p>
        </w:tc>
        <w:tc>
          <w:tcPr>
            <w:tcW w:w="1632" w:type="dxa"/>
          </w:tcPr>
          <w:p w14:paraId="17FE0CC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governance and programme decisions within ma</w:t>
            </w:r>
            <w:r w:rsidRPr="005C2D83">
              <w:rPr>
                <w:rFonts w:ascii="Century" w:hAnsi="Century"/>
                <w:color w:val="000000" w:themeColor="text1"/>
              </w:rPr>
              <w:t>ndate.</w:t>
            </w:r>
          </w:p>
        </w:tc>
        <w:tc>
          <w:tcPr>
            <w:tcW w:w="1632" w:type="dxa"/>
          </w:tcPr>
          <w:p w14:paraId="083C2D7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/ Executive Security Council.</w:t>
            </w:r>
          </w:p>
        </w:tc>
        <w:tc>
          <w:tcPr>
            <w:tcW w:w="1632" w:type="dxa"/>
          </w:tcPr>
          <w:p w14:paraId="07AA0B6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Incident performance; security programme effectiveness.</w:t>
            </w:r>
          </w:p>
        </w:tc>
      </w:tr>
      <w:tr w:rsidR="005C2D83" w:rsidRPr="005C2D83" w14:paraId="3A5E89C6" w14:textId="77777777">
        <w:trPr>
          <w:jc w:val="center"/>
        </w:trPr>
        <w:tc>
          <w:tcPr>
            <w:tcW w:w="1632" w:type="dxa"/>
          </w:tcPr>
          <w:p w14:paraId="61E4C49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CRO / Risk</w:t>
            </w:r>
          </w:p>
        </w:tc>
        <w:tc>
          <w:tcPr>
            <w:tcW w:w="1632" w:type="dxa"/>
          </w:tcPr>
          <w:p w14:paraId="2056C1B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Integrate cyber risk into enterprise risk management.</w:t>
            </w:r>
          </w:p>
        </w:tc>
        <w:tc>
          <w:tcPr>
            <w:tcW w:w="1632" w:type="dxa"/>
          </w:tcPr>
          <w:p w14:paraId="3B52D37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methodology; assessment; treatment; aggregation; independent challenge.</w:t>
            </w:r>
          </w:p>
        </w:tc>
        <w:tc>
          <w:tcPr>
            <w:tcW w:w="1632" w:type="dxa"/>
          </w:tcPr>
          <w:p w14:paraId="738830D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framework a</w:t>
            </w:r>
            <w:r w:rsidRPr="005C2D83">
              <w:rPr>
                <w:rFonts w:ascii="Century" w:hAnsi="Century"/>
                <w:color w:val="000000" w:themeColor="text1"/>
              </w:rPr>
              <w:t>nd challenge.</w:t>
            </w:r>
          </w:p>
        </w:tc>
        <w:tc>
          <w:tcPr>
            <w:tcW w:w="1632" w:type="dxa"/>
          </w:tcPr>
          <w:p w14:paraId="4AC7489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/ Executive Security Council.</w:t>
            </w:r>
          </w:p>
        </w:tc>
        <w:tc>
          <w:tcPr>
            <w:tcW w:w="1632" w:type="dxa"/>
          </w:tcPr>
          <w:p w14:paraId="5A383BE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assessment completion; overdue risk treatment.</w:t>
            </w:r>
          </w:p>
        </w:tc>
      </w:tr>
      <w:tr w:rsidR="005C2D83" w:rsidRPr="005C2D83" w14:paraId="5D7E8787" w14:textId="77777777">
        <w:trPr>
          <w:jc w:val="center"/>
        </w:trPr>
        <w:tc>
          <w:tcPr>
            <w:tcW w:w="1632" w:type="dxa"/>
          </w:tcPr>
          <w:p w14:paraId="57D832A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Legal / Compliance</w:t>
            </w:r>
          </w:p>
        </w:tc>
        <w:tc>
          <w:tcPr>
            <w:tcW w:w="1632" w:type="dxa"/>
          </w:tcPr>
          <w:p w14:paraId="1C1BA2E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Provide legal and regulatory assurance.</w:t>
            </w:r>
          </w:p>
        </w:tc>
        <w:tc>
          <w:tcPr>
            <w:tcW w:w="1632" w:type="dxa"/>
          </w:tcPr>
          <w:p w14:paraId="6B4481C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Regulatory duties; privacy; contracts; notification advice.</w:t>
            </w:r>
          </w:p>
        </w:tc>
        <w:tc>
          <w:tcPr>
            <w:tcW w:w="1632" w:type="dxa"/>
          </w:tcPr>
          <w:p w14:paraId="3E32B82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Legal/regulatory advice within </w:t>
            </w:r>
            <w:r w:rsidRPr="005C2D83">
              <w:rPr>
                <w:rFonts w:ascii="Century" w:hAnsi="Century"/>
                <w:color w:val="000000" w:themeColor="text1"/>
              </w:rPr>
              <w:t>mandate.</w:t>
            </w:r>
          </w:p>
        </w:tc>
        <w:tc>
          <w:tcPr>
            <w:tcW w:w="1632" w:type="dxa"/>
          </w:tcPr>
          <w:p w14:paraId="3ACFB7D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/ relevant governance body.</w:t>
            </w:r>
          </w:p>
        </w:tc>
        <w:tc>
          <w:tcPr>
            <w:tcW w:w="1632" w:type="dxa"/>
          </w:tcPr>
          <w:p w14:paraId="4DCD714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Regulatory assessment timeliness; notification compliance.</w:t>
            </w:r>
          </w:p>
        </w:tc>
      </w:tr>
      <w:tr w:rsidR="005C2D83" w:rsidRPr="005C2D83" w14:paraId="41095B16" w14:textId="77777777">
        <w:trPr>
          <w:jc w:val="center"/>
        </w:trPr>
        <w:tc>
          <w:tcPr>
            <w:tcW w:w="1632" w:type="dxa"/>
          </w:tcPr>
          <w:p w14:paraId="5A2239B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Finance</w:t>
            </w:r>
          </w:p>
        </w:tc>
        <w:tc>
          <w:tcPr>
            <w:tcW w:w="1632" w:type="dxa"/>
          </w:tcPr>
          <w:p w14:paraId="6E0DA62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Govern security investment financially.</w:t>
            </w:r>
          </w:p>
        </w:tc>
        <w:tc>
          <w:tcPr>
            <w:tcW w:w="1632" w:type="dxa"/>
          </w:tcPr>
          <w:p w14:paraId="1CAC239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Budget; financial exposure; investment prioritisation.</w:t>
            </w:r>
          </w:p>
        </w:tc>
        <w:tc>
          <w:tcPr>
            <w:tcW w:w="1632" w:type="dxa"/>
          </w:tcPr>
          <w:p w14:paraId="12DE811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Financial approval within delegated authority.</w:t>
            </w:r>
          </w:p>
        </w:tc>
        <w:tc>
          <w:tcPr>
            <w:tcW w:w="1632" w:type="dxa"/>
          </w:tcPr>
          <w:p w14:paraId="7D0C423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/</w:t>
            </w:r>
            <w:r w:rsidRPr="005C2D83">
              <w:rPr>
                <w:rFonts w:ascii="Century" w:hAnsi="Century"/>
                <w:color w:val="000000" w:themeColor="text1"/>
              </w:rPr>
              <w:t xml:space="preserve"> Executive governance.</w:t>
            </w:r>
          </w:p>
        </w:tc>
        <w:tc>
          <w:tcPr>
            <w:tcW w:w="1632" w:type="dxa"/>
          </w:tcPr>
          <w:p w14:paraId="5A566FB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Budget variance; security investment tracking.</w:t>
            </w:r>
          </w:p>
        </w:tc>
      </w:tr>
      <w:tr w:rsidR="005C2D83" w:rsidRPr="005C2D83" w14:paraId="5E4DDA47" w14:textId="77777777">
        <w:trPr>
          <w:jc w:val="center"/>
        </w:trPr>
        <w:tc>
          <w:tcPr>
            <w:tcW w:w="1632" w:type="dxa"/>
          </w:tcPr>
          <w:p w14:paraId="1EF8220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HR</w:t>
            </w:r>
          </w:p>
        </w:tc>
        <w:tc>
          <w:tcPr>
            <w:tcW w:w="1632" w:type="dxa"/>
          </w:tcPr>
          <w:p w14:paraId="303E218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Govern people-related security processes.</w:t>
            </w:r>
          </w:p>
        </w:tc>
        <w:tc>
          <w:tcPr>
            <w:tcW w:w="1632" w:type="dxa"/>
          </w:tcPr>
          <w:p w14:paraId="5A98768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Joiner/mover/leaver; awareness; conduct and disciplinary processes.</w:t>
            </w:r>
          </w:p>
        </w:tc>
        <w:tc>
          <w:tcPr>
            <w:tcW w:w="1632" w:type="dxa"/>
          </w:tcPr>
          <w:p w14:paraId="260908D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HR process decisions within mandate.</w:t>
            </w:r>
          </w:p>
        </w:tc>
        <w:tc>
          <w:tcPr>
            <w:tcW w:w="1632" w:type="dxa"/>
          </w:tcPr>
          <w:p w14:paraId="43A5F9F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/ relevant governance body.</w:t>
            </w:r>
          </w:p>
        </w:tc>
        <w:tc>
          <w:tcPr>
            <w:tcW w:w="1632" w:type="dxa"/>
          </w:tcPr>
          <w:p w14:paraId="5173B0A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Awa</w:t>
            </w:r>
            <w:r w:rsidRPr="005C2D83">
              <w:rPr>
                <w:rFonts w:ascii="Century" w:hAnsi="Century"/>
                <w:color w:val="000000" w:themeColor="text1"/>
              </w:rPr>
              <w:t>reness completion; access removal timeliness.</w:t>
            </w:r>
          </w:p>
        </w:tc>
      </w:tr>
      <w:tr w:rsidR="005C2D83" w:rsidRPr="005C2D83" w14:paraId="5FC65451" w14:textId="77777777">
        <w:trPr>
          <w:jc w:val="center"/>
        </w:trPr>
        <w:tc>
          <w:tcPr>
            <w:tcW w:w="1632" w:type="dxa"/>
          </w:tcPr>
          <w:p w14:paraId="6BBBB22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</w:t>
            </w:r>
          </w:p>
        </w:tc>
        <w:tc>
          <w:tcPr>
            <w:tcW w:w="1632" w:type="dxa"/>
          </w:tcPr>
          <w:p w14:paraId="1AAF672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Execute technical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security controls.</w:t>
            </w:r>
          </w:p>
        </w:tc>
        <w:tc>
          <w:tcPr>
            <w:tcW w:w="1632" w:type="dxa"/>
          </w:tcPr>
          <w:p w14:paraId="56141D5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 xml:space="preserve">Secure operation; implementation;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continuity.</w:t>
            </w:r>
          </w:p>
        </w:tc>
        <w:tc>
          <w:tcPr>
            <w:tcW w:w="1632" w:type="dxa"/>
          </w:tcPr>
          <w:p w14:paraId="5CB6E0A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>Technical implementatio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n within approved governance.</w:t>
            </w:r>
          </w:p>
        </w:tc>
        <w:tc>
          <w:tcPr>
            <w:tcW w:w="1632" w:type="dxa"/>
          </w:tcPr>
          <w:p w14:paraId="6ED57A8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 xml:space="preserve">CISO / Security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Governance Committee.</w:t>
            </w:r>
          </w:p>
        </w:tc>
        <w:tc>
          <w:tcPr>
            <w:tcW w:w="1632" w:type="dxa"/>
          </w:tcPr>
          <w:p w14:paraId="0EC968C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 xml:space="preserve">Vulnerability </w:t>
            </w:r>
            <w:r w:rsidRPr="005C2D83">
              <w:rPr>
                <w:rFonts w:ascii="Century" w:hAnsi="Century"/>
                <w:color w:val="000000" w:themeColor="text1"/>
              </w:rPr>
              <w:t xml:space="preserve">remediation;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control implementation.</w:t>
            </w:r>
          </w:p>
        </w:tc>
      </w:tr>
    </w:tbl>
    <w:p w14:paraId="569D8B14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74ED6E6E" w14:textId="6D7AF54E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2.2 Conflict-Resolution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685"/>
        <w:gridCol w:w="3264"/>
      </w:tblGrid>
      <w:tr w:rsidR="005C2D83" w:rsidRPr="005C2D83" w14:paraId="64A6CDD9" w14:textId="77777777" w:rsidTr="00DB59EF">
        <w:trPr>
          <w:jc w:val="center"/>
        </w:trPr>
        <w:tc>
          <w:tcPr>
            <w:tcW w:w="1843" w:type="dxa"/>
            <w:shd w:val="clear" w:color="auto" w:fill="D9EAF7"/>
            <w:vAlign w:val="center"/>
          </w:tcPr>
          <w:p w14:paraId="53B26EF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Conflict</w:t>
            </w:r>
          </w:p>
        </w:tc>
        <w:tc>
          <w:tcPr>
            <w:tcW w:w="4685" w:type="dxa"/>
            <w:shd w:val="clear" w:color="auto" w:fill="D9EAF7"/>
            <w:vAlign w:val="center"/>
          </w:tcPr>
          <w:p w14:paraId="7F56EC7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Issue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4BB688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Resolution</w:t>
            </w:r>
          </w:p>
        </w:tc>
      </w:tr>
      <w:tr w:rsidR="005C2D83" w:rsidRPr="005C2D83" w14:paraId="097103C5" w14:textId="77777777" w:rsidTr="00DB59EF">
        <w:trPr>
          <w:jc w:val="center"/>
        </w:trPr>
        <w:tc>
          <w:tcPr>
            <w:tcW w:w="1843" w:type="dxa"/>
          </w:tcPr>
          <w:p w14:paraId="6E33FBD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vs CISO</w:t>
            </w:r>
          </w:p>
        </w:tc>
        <w:tc>
          <w:tcPr>
            <w:tcW w:w="4685" w:type="dxa"/>
          </w:tcPr>
          <w:p w14:paraId="5B5214B1" w14:textId="5114F42F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IT implements controls </w:t>
            </w:r>
            <w:r w:rsidR="00DB59EF" w:rsidRPr="005C2D83">
              <w:rPr>
                <w:rFonts w:ascii="Century" w:hAnsi="Century"/>
                <w:color w:val="000000" w:themeColor="text1"/>
              </w:rPr>
              <w:t>and</w:t>
            </w:r>
            <w:r w:rsidRPr="005C2D83">
              <w:rPr>
                <w:rFonts w:ascii="Century" w:hAnsi="Century"/>
                <w:color w:val="000000" w:themeColor="text1"/>
              </w:rPr>
              <w:t xml:space="preserve"> CISO leads security governance.</w:t>
            </w:r>
          </w:p>
        </w:tc>
        <w:tc>
          <w:tcPr>
            <w:tcW w:w="3264" w:type="dxa"/>
          </w:tcPr>
          <w:p w14:paraId="76F0A82F" w14:textId="5D7028A2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IT implements approved </w:t>
            </w:r>
            <w:proofErr w:type="spellStart"/>
            <w:r w:rsidRPr="005C2D83">
              <w:rPr>
                <w:rFonts w:ascii="Century" w:hAnsi="Century"/>
                <w:color w:val="000000" w:themeColor="text1"/>
              </w:rPr>
              <w:t>controls</w:t>
            </w:r>
            <w:r w:rsidR="00DB59EF" w:rsidRPr="005C2D83">
              <w:rPr>
                <w:rFonts w:ascii="Century" w:hAnsi="Century"/>
                <w:color w:val="000000" w:themeColor="text1"/>
              </w:rPr>
              <w:t>a</w:t>
            </w:r>
            <w:proofErr w:type="spellEnd"/>
            <w:r w:rsidR="00DB59EF" w:rsidRPr="005C2D83">
              <w:rPr>
                <w:rFonts w:ascii="Century" w:hAnsi="Century"/>
                <w:color w:val="000000" w:themeColor="text1"/>
              </w:rPr>
              <w:t>, and</w:t>
            </w:r>
            <w:r w:rsidRPr="005C2D83">
              <w:rPr>
                <w:rFonts w:ascii="Century" w:hAnsi="Century"/>
                <w:color w:val="000000" w:themeColor="text1"/>
              </w:rPr>
              <w:t xml:space="preserve"> CISO establishes security requirements and provides gove</w:t>
            </w:r>
            <w:r w:rsidRPr="005C2D83">
              <w:rPr>
                <w:rFonts w:ascii="Century" w:hAnsi="Century"/>
                <w:color w:val="000000" w:themeColor="text1"/>
              </w:rPr>
              <w:t>rnance approval.</w:t>
            </w:r>
          </w:p>
        </w:tc>
      </w:tr>
      <w:tr w:rsidR="005C2D83" w:rsidRPr="005C2D83" w14:paraId="2CB87748" w14:textId="77777777" w:rsidTr="00DB59EF">
        <w:trPr>
          <w:jc w:val="center"/>
        </w:trPr>
        <w:tc>
          <w:tcPr>
            <w:tcW w:w="1843" w:type="dxa"/>
          </w:tcPr>
          <w:p w14:paraId="4FAA573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 vs CRO/Risk</w:t>
            </w:r>
          </w:p>
        </w:tc>
        <w:tc>
          <w:tcPr>
            <w:tcW w:w="4685" w:type="dxa"/>
          </w:tcPr>
          <w:p w14:paraId="54E17B40" w14:textId="6A729333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CISO manages security risk while CRO/Risk provides enterprise risk </w:t>
            </w:r>
            <w:r w:rsidR="00DB59EF" w:rsidRPr="005C2D83">
              <w:rPr>
                <w:rFonts w:ascii="Century" w:hAnsi="Century"/>
                <w:color w:val="000000" w:themeColor="text1"/>
              </w:rPr>
              <w:t>enterprise</w:t>
            </w:r>
          </w:p>
        </w:tc>
        <w:tc>
          <w:tcPr>
            <w:tcW w:w="3264" w:type="dxa"/>
          </w:tcPr>
          <w:p w14:paraId="69423A0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 owns security management activities; CRO/Risk provides independent risk challenge and enterprise aggregation.</w:t>
            </w:r>
          </w:p>
        </w:tc>
      </w:tr>
      <w:tr w:rsidR="005C2D83" w:rsidRPr="005C2D83" w14:paraId="5FFCFBED" w14:textId="77777777" w:rsidTr="00DB59EF">
        <w:trPr>
          <w:jc w:val="center"/>
        </w:trPr>
        <w:tc>
          <w:tcPr>
            <w:tcW w:w="1843" w:type="dxa"/>
          </w:tcPr>
          <w:p w14:paraId="3BC4D81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Unit vs Risk</w:t>
            </w:r>
          </w:p>
        </w:tc>
        <w:tc>
          <w:tcPr>
            <w:tcW w:w="4685" w:type="dxa"/>
          </w:tcPr>
          <w:p w14:paraId="09A33A3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 Business Unit may want to accept a risk because of business priorities.</w:t>
            </w:r>
          </w:p>
        </w:tc>
        <w:tc>
          <w:tcPr>
            <w:tcW w:w="3264" w:type="dxa"/>
          </w:tcPr>
          <w:p w14:paraId="55FCD82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The Business Unit identifies and justifies the risk; acceptance follows the defined authority threshold.</w:t>
            </w:r>
          </w:p>
        </w:tc>
      </w:tr>
    </w:tbl>
    <w:p w14:paraId="07598FF0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11F39FB0" w14:textId="77777777" w:rsidR="000A5B38" w:rsidRPr="005C2D83" w:rsidRDefault="00680F12">
      <w:pPr>
        <w:pStyle w:val="Titre1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TASK 3 — SECURITY GOVERNANCE COMMITTEE ECOSYSTEM</w:t>
      </w:r>
    </w:p>
    <w:p w14:paraId="4A41F0F0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3.1 </w:t>
      </w:r>
      <w:r w:rsidRPr="005C2D83">
        <w:rPr>
          <w:rFonts w:ascii="Century" w:hAnsi="Century"/>
          <w:color w:val="000000" w:themeColor="text1"/>
        </w:rPr>
        <w:t>Committee Structure</w:t>
      </w:r>
    </w:p>
    <w:p w14:paraId="5EC5046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BOARD</w:t>
      </w:r>
    </w:p>
    <w:p w14:paraId="47469565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│</w:t>
      </w:r>
    </w:p>
    <w:p w14:paraId="79DE2372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▼</w:t>
      </w:r>
    </w:p>
    <w:p w14:paraId="5A02D1DC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EXECUTIVE SECURITY COUNCIL</w:t>
      </w:r>
    </w:p>
    <w:p w14:paraId="3939D21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│</w:t>
      </w:r>
    </w:p>
    <w:p w14:paraId="7A3DAF24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▼</w:t>
      </w:r>
    </w:p>
    <w:p w14:paraId="2B7502C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SECURITY GOVERNANCE / STEERING COMMITTEE</w:t>
      </w:r>
    </w:p>
    <w:p w14:paraId="42F821CC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│</w:t>
      </w:r>
    </w:p>
    <w:p w14:paraId="44356DF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├── CISO / Risk</w:t>
      </w:r>
    </w:p>
    <w:p w14:paraId="50C89B49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├── Legal / Finance</w:t>
      </w:r>
    </w:p>
    <w:p w14:paraId="3AFA115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└── IT / Business Units</w:t>
      </w:r>
    </w:p>
    <w:p w14:paraId="26781DE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  │</w:t>
      </w:r>
    </w:p>
    <w:p w14:paraId="69211FCE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lastRenderedPageBreak/>
        <w:t xml:space="preserve">          ▼</w:t>
      </w:r>
    </w:p>
    <w:p w14:paraId="36CE14B4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INCIDENT RESPONSE WORKING GROUP</w:t>
      </w:r>
    </w:p>
    <w:p w14:paraId="1AFD0254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3.2 </w:t>
      </w:r>
      <w:r w:rsidRPr="005C2D83">
        <w:rPr>
          <w:rFonts w:ascii="Century" w:hAnsi="Century"/>
          <w:color w:val="000000" w:themeColor="text1"/>
        </w:rPr>
        <w:t>Executive Security Council</w:t>
      </w:r>
    </w:p>
    <w:p w14:paraId="774F082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Purpose: provide strategic oversight of significant cyber risks, security investment and major governance decisions.</w:t>
      </w:r>
    </w:p>
    <w:p w14:paraId="2DF9F1B4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Suggested participants: CEO, CISO, CRO/Risk, Finance, Legal and other executives as required.</w:t>
      </w:r>
    </w:p>
    <w:p w14:paraId="68BA5F54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Responsibilities: </w:t>
      </w:r>
      <w:r w:rsidRPr="005C2D83">
        <w:rPr>
          <w:rFonts w:ascii="Century" w:hAnsi="Century"/>
          <w:color w:val="000000" w:themeColor="text1"/>
        </w:rPr>
        <w:t>review significant risks; resolve cross-functional issues; oversee major incidents; review major security investments; prepare material information for the Board.</w:t>
      </w:r>
    </w:p>
    <w:p w14:paraId="50E80AA8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3.3 Security Governance Committee — Terms of Reference</w:t>
      </w:r>
    </w:p>
    <w:p w14:paraId="70EDB382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Purpose: provide a formal cross-functi</w:t>
      </w:r>
      <w:r w:rsidRPr="005C2D83">
        <w:rPr>
          <w:rFonts w:ascii="Century" w:hAnsi="Century"/>
          <w:color w:val="000000" w:themeColor="text1"/>
        </w:rPr>
        <w:t>onal forum for reviewing and resolving security governance issues.</w:t>
      </w:r>
    </w:p>
    <w:p w14:paraId="6A0C725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Membership: CISO (Chair), CRO/Risk, IT, Legal/Compliance, Finance, HR and Business Unit representatives.</w:t>
      </w:r>
    </w:p>
    <w:p w14:paraId="7A8A836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Frequency: monthly, with extraordinary meetings when required.</w:t>
      </w:r>
    </w:p>
    <w:p w14:paraId="2EE13CC0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Responsibilities: rev</w:t>
      </w:r>
      <w:r w:rsidRPr="005C2D83">
        <w:rPr>
          <w:rFonts w:ascii="Century" w:hAnsi="Century"/>
          <w:color w:val="000000" w:themeColor="text1"/>
        </w:rPr>
        <w:t>iew cyber-risk; monitor treatment plans; review incidents and vulnerabilities; review third-party security issues; review policies; identify matters requiring executive escalation.</w:t>
      </w:r>
    </w:p>
    <w:p w14:paraId="11E45C4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Decision and escalation: decisions are recorded in the Decision Log. Materi</w:t>
      </w:r>
      <w:r w:rsidRPr="005C2D83">
        <w:rPr>
          <w:rFonts w:ascii="Century" w:hAnsi="Century"/>
          <w:color w:val="000000" w:themeColor="text1"/>
        </w:rPr>
        <w:t>al issues are escalated to the Executive Security Council and, where appropriate, the Board.</w:t>
      </w:r>
    </w:p>
    <w:p w14:paraId="00B5EBEA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3.4 Sample Committee Agenda</w:t>
      </w:r>
    </w:p>
    <w:p w14:paraId="5E281FBC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Opening and previous actions</w:t>
      </w:r>
    </w:p>
    <w:p w14:paraId="44566430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Review of previous decisions</w:t>
      </w:r>
    </w:p>
    <w:p w14:paraId="414E522A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Cyber-risk register</w:t>
      </w:r>
    </w:p>
    <w:p w14:paraId="74B2EF1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Material/new risks</w:t>
      </w:r>
    </w:p>
    <w:p w14:paraId="0F8B63C2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Security incidents</w:t>
      </w:r>
    </w:p>
    <w:p w14:paraId="717EBCA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Vulnerability remed</w:t>
      </w:r>
      <w:r w:rsidRPr="005C2D83">
        <w:rPr>
          <w:rFonts w:ascii="Century" w:hAnsi="Century"/>
          <w:color w:val="000000" w:themeColor="text1"/>
        </w:rPr>
        <w:t>iation</w:t>
      </w:r>
    </w:p>
    <w:p w14:paraId="26182ED5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Third-party security</w:t>
      </w:r>
    </w:p>
    <w:p w14:paraId="08C9650B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Policy and compliance</w:t>
      </w:r>
    </w:p>
    <w:p w14:paraId="31360B4C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Security programme and investment</w:t>
      </w:r>
    </w:p>
    <w:p w14:paraId="015C343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Escalations</w:t>
      </w:r>
    </w:p>
    <w:p w14:paraId="494BA7AD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lastRenderedPageBreak/>
        <w:t>New decisions</w:t>
      </w:r>
    </w:p>
    <w:p w14:paraId="766C6A3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Action owners and deadlines</w:t>
      </w:r>
    </w:p>
    <w:p w14:paraId="3832D702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3.5 Decision Log — Appendix D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5C2D83" w:rsidRPr="005C2D83" w14:paraId="14D069ED" w14:textId="77777777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14:paraId="116F2F4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Date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175C8E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Decision / Issue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EA9276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Decision Owner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A595A0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Decision Rationale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0DFC6E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Actions / Owner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03DEC8F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Review Date</w:t>
            </w:r>
          </w:p>
        </w:tc>
      </w:tr>
      <w:tr w:rsidR="005C2D83" w:rsidRPr="005C2D83" w14:paraId="61AAEFC1" w14:textId="77777777">
        <w:trPr>
          <w:jc w:val="center"/>
        </w:trPr>
        <w:tc>
          <w:tcPr>
            <w:tcW w:w="1632" w:type="dxa"/>
          </w:tcPr>
          <w:p w14:paraId="1A7C536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01/10/2026</w:t>
            </w:r>
          </w:p>
        </w:tc>
        <w:tc>
          <w:tcPr>
            <w:tcW w:w="1632" w:type="dxa"/>
          </w:tcPr>
          <w:p w14:paraId="2E9994D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High-risk supplier requires remediation</w:t>
            </w:r>
          </w:p>
        </w:tc>
        <w:tc>
          <w:tcPr>
            <w:tcW w:w="1632" w:type="dxa"/>
          </w:tcPr>
          <w:p w14:paraId="54F04CA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</w:t>
            </w:r>
          </w:p>
        </w:tc>
        <w:tc>
          <w:tcPr>
            <w:tcW w:w="1632" w:type="dxa"/>
          </w:tcPr>
          <w:p w14:paraId="21B8A9B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Identified third-party security exposure</w:t>
            </w:r>
          </w:p>
        </w:tc>
        <w:tc>
          <w:tcPr>
            <w:tcW w:w="1632" w:type="dxa"/>
          </w:tcPr>
          <w:p w14:paraId="445464B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Supplier remediation / IT</w:t>
            </w:r>
          </w:p>
        </w:tc>
        <w:tc>
          <w:tcPr>
            <w:tcW w:w="1632" w:type="dxa"/>
          </w:tcPr>
          <w:p w14:paraId="74A7BA8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01/11/2026</w:t>
            </w:r>
          </w:p>
        </w:tc>
      </w:tr>
      <w:tr w:rsidR="005C2D83" w:rsidRPr="005C2D83" w14:paraId="43C0FE8E" w14:textId="77777777">
        <w:trPr>
          <w:jc w:val="center"/>
        </w:trPr>
        <w:tc>
          <w:tcPr>
            <w:tcW w:w="1632" w:type="dxa"/>
          </w:tcPr>
          <w:p w14:paraId="75BCB9E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01/10/2026</w:t>
            </w:r>
          </w:p>
        </w:tc>
        <w:tc>
          <w:tcPr>
            <w:tcW w:w="1632" w:type="dxa"/>
          </w:tcPr>
          <w:p w14:paraId="6435616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Critical vulnerability requires accelerated remediation</w:t>
            </w:r>
          </w:p>
        </w:tc>
        <w:tc>
          <w:tcPr>
            <w:tcW w:w="1632" w:type="dxa"/>
          </w:tcPr>
          <w:p w14:paraId="6EE6C87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</w:t>
            </w:r>
          </w:p>
        </w:tc>
        <w:tc>
          <w:tcPr>
            <w:tcW w:w="1632" w:type="dxa"/>
          </w:tcPr>
          <w:p w14:paraId="26A6715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Significant technical exposure</w:t>
            </w:r>
          </w:p>
        </w:tc>
        <w:tc>
          <w:tcPr>
            <w:tcW w:w="1632" w:type="dxa"/>
          </w:tcPr>
          <w:p w14:paraId="5A56583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Emergency remediatio</w:t>
            </w:r>
            <w:r w:rsidRPr="005C2D83">
              <w:rPr>
                <w:rFonts w:ascii="Century" w:hAnsi="Century"/>
                <w:color w:val="000000" w:themeColor="text1"/>
              </w:rPr>
              <w:t>n / IT</w:t>
            </w:r>
          </w:p>
        </w:tc>
        <w:tc>
          <w:tcPr>
            <w:tcW w:w="1632" w:type="dxa"/>
          </w:tcPr>
          <w:p w14:paraId="3D821DE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15/10/2026</w:t>
            </w:r>
          </w:p>
        </w:tc>
      </w:tr>
      <w:tr w:rsidR="000A5B38" w:rsidRPr="005C2D83" w14:paraId="5514664E" w14:textId="77777777">
        <w:trPr>
          <w:jc w:val="center"/>
        </w:trPr>
        <w:tc>
          <w:tcPr>
            <w:tcW w:w="1632" w:type="dxa"/>
          </w:tcPr>
          <w:p w14:paraId="5DF261C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01/10/2026</w:t>
            </w:r>
          </w:p>
        </w:tc>
        <w:tc>
          <w:tcPr>
            <w:tcW w:w="1632" w:type="dxa"/>
          </w:tcPr>
          <w:p w14:paraId="369EFBF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awareness programme expansion</w:t>
            </w:r>
          </w:p>
        </w:tc>
        <w:tc>
          <w:tcPr>
            <w:tcW w:w="1632" w:type="dxa"/>
          </w:tcPr>
          <w:p w14:paraId="0C3534A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 / HR</w:t>
            </w:r>
          </w:p>
        </w:tc>
        <w:tc>
          <w:tcPr>
            <w:tcW w:w="1632" w:type="dxa"/>
          </w:tcPr>
          <w:p w14:paraId="7031E98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Need to strengthen workforce awareness</w:t>
            </w:r>
          </w:p>
        </w:tc>
        <w:tc>
          <w:tcPr>
            <w:tcW w:w="1632" w:type="dxa"/>
          </w:tcPr>
          <w:p w14:paraId="45D8810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Awareness programme / HR</w:t>
            </w:r>
          </w:p>
        </w:tc>
        <w:tc>
          <w:tcPr>
            <w:tcW w:w="1632" w:type="dxa"/>
          </w:tcPr>
          <w:p w14:paraId="1DDA26E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01/12/2026</w:t>
            </w:r>
          </w:p>
        </w:tc>
      </w:tr>
    </w:tbl>
    <w:p w14:paraId="0AA5A31E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0F6F7524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3.6 12-Month Governance Calendar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C2D83" w:rsidRPr="005C2D83" w14:paraId="0D9A7A50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41EDA53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Month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4E91A1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Governance Activity</w:t>
            </w:r>
          </w:p>
        </w:tc>
      </w:tr>
      <w:tr w:rsidR="005C2D83" w:rsidRPr="005C2D83" w14:paraId="6DEC2AF1" w14:textId="77777777">
        <w:trPr>
          <w:jc w:val="center"/>
        </w:trPr>
        <w:tc>
          <w:tcPr>
            <w:tcW w:w="4896" w:type="dxa"/>
          </w:tcPr>
          <w:p w14:paraId="7A530B0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January</w:t>
            </w:r>
          </w:p>
        </w:tc>
        <w:tc>
          <w:tcPr>
            <w:tcW w:w="4896" w:type="dxa"/>
          </w:tcPr>
          <w:p w14:paraId="5EDA0B3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Annual cyber-risk review</w:t>
            </w:r>
          </w:p>
        </w:tc>
      </w:tr>
      <w:tr w:rsidR="005C2D83" w:rsidRPr="005C2D83" w14:paraId="4E543F22" w14:textId="77777777">
        <w:trPr>
          <w:jc w:val="center"/>
        </w:trPr>
        <w:tc>
          <w:tcPr>
            <w:tcW w:w="4896" w:type="dxa"/>
          </w:tcPr>
          <w:p w14:paraId="18385F1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February</w:t>
            </w:r>
          </w:p>
        </w:tc>
        <w:tc>
          <w:tcPr>
            <w:tcW w:w="4896" w:type="dxa"/>
          </w:tcPr>
          <w:p w14:paraId="45A46219" w14:textId="57AF9D23" w:rsidR="000A5B38" w:rsidRPr="005C2D83" w:rsidRDefault="000A5B38">
            <w:pPr>
              <w:rPr>
                <w:rFonts w:ascii="Century" w:hAnsi="Century"/>
                <w:color w:val="000000" w:themeColor="text1"/>
              </w:rPr>
            </w:pPr>
          </w:p>
        </w:tc>
      </w:tr>
      <w:tr w:rsidR="005C2D83" w:rsidRPr="005C2D83" w14:paraId="47B5AB43" w14:textId="77777777">
        <w:trPr>
          <w:jc w:val="center"/>
        </w:trPr>
        <w:tc>
          <w:tcPr>
            <w:tcW w:w="4896" w:type="dxa"/>
          </w:tcPr>
          <w:p w14:paraId="1106E45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March</w:t>
            </w:r>
          </w:p>
        </w:tc>
        <w:tc>
          <w:tcPr>
            <w:tcW w:w="4896" w:type="dxa"/>
          </w:tcPr>
          <w:p w14:paraId="5072305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Third-party security review</w:t>
            </w:r>
          </w:p>
        </w:tc>
      </w:tr>
      <w:tr w:rsidR="005C2D83" w:rsidRPr="005C2D83" w14:paraId="1E3E1A79" w14:textId="77777777">
        <w:trPr>
          <w:jc w:val="center"/>
        </w:trPr>
        <w:tc>
          <w:tcPr>
            <w:tcW w:w="4896" w:type="dxa"/>
          </w:tcPr>
          <w:p w14:paraId="1F77F68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April</w:t>
            </w:r>
          </w:p>
        </w:tc>
        <w:tc>
          <w:tcPr>
            <w:tcW w:w="4896" w:type="dxa"/>
          </w:tcPr>
          <w:p w14:paraId="5839033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awareness review</w:t>
            </w:r>
          </w:p>
        </w:tc>
      </w:tr>
      <w:tr w:rsidR="005C2D83" w:rsidRPr="005C2D83" w14:paraId="2D8E8367" w14:textId="77777777">
        <w:trPr>
          <w:jc w:val="center"/>
        </w:trPr>
        <w:tc>
          <w:tcPr>
            <w:tcW w:w="4896" w:type="dxa"/>
          </w:tcPr>
          <w:p w14:paraId="4F8A493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May</w:t>
            </w:r>
          </w:p>
        </w:tc>
        <w:tc>
          <w:tcPr>
            <w:tcW w:w="4896" w:type="dxa"/>
          </w:tcPr>
          <w:p w14:paraId="07283BE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continuity / recovery review</w:t>
            </w:r>
          </w:p>
        </w:tc>
      </w:tr>
      <w:tr w:rsidR="005C2D83" w:rsidRPr="005C2D83" w14:paraId="12DDE086" w14:textId="77777777">
        <w:trPr>
          <w:jc w:val="center"/>
        </w:trPr>
        <w:tc>
          <w:tcPr>
            <w:tcW w:w="4896" w:type="dxa"/>
          </w:tcPr>
          <w:p w14:paraId="4F53DDA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June</w:t>
            </w:r>
          </w:p>
        </w:tc>
        <w:tc>
          <w:tcPr>
            <w:tcW w:w="4896" w:type="dxa"/>
          </w:tcPr>
          <w:p w14:paraId="5F6A7A2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Mid-year cyber-risk review</w:t>
            </w:r>
          </w:p>
        </w:tc>
      </w:tr>
      <w:tr w:rsidR="005C2D83" w:rsidRPr="005C2D83" w14:paraId="2F93E462" w14:textId="77777777">
        <w:trPr>
          <w:jc w:val="center"/>
        </w:trPr>
        <w:tc>
          <w:tcPr>
            <w:tcW w:w="4896" w:type="dxa"/>
          </w:tcPr>
          <w:p w14:paraId="64FB35C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July</w:t>
            </w:r>
          </w:p>
        </w:tc>
        <w:tc>
          <w:tcPr>
            <w:tcW w:w="4896" w:type="dxa"/>
          </w:tcPr>
          <w:p w14:paraId="144B80A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architecture review</w:t>
            </w:r>
          </w:p>
        </w:tc>
      </w:tr>
      <w:tr w:rsidR="005C2D83" w:rsidRPr="005C2D83" w14:paraId="37411302" w14:textId="77777777">
        <w:trPr>
          <w:jc w:val="center"/>
        </w:trPr>
        <w:tc>
          <w:tcPr>
            <w:tcW w:w="4896" w:type="dxa"/>
          </w:tcPr>
          <w:p w14:paraId="57AD494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August</w:t>
            </w:r>
          </w:p>
        </w:tc>
        <w:tc>
          <w:tcPr>
            <w:tcW w:w="4896" w:type="dxa"/>
          </w:tcPr>
          <w:p w14:paraId="2DE14C8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Incident response exercise</w:t>
            </w:r>
          </w:p>
        </w:tc>
      </w:tr>
      <w:tr w:rsidR="005C2D83" w:rsidRPr="005C2D83" w14:paraId="79D424C8" w14:textId="77777777">
        <w:trPr>
          <w:jc w:val="center"/>
        </w:trPr>
        <w:tc>
          <w:tcPr>
            <w:tcW w:w="4896" w:type="dxa"/>
          </w:tcPr>
          <w:p w14:paraId="5683104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Septemb</w:t>
            </w:r>
            <w:r w:rsidRPr="005C2D83">
              <w:rPr>
                <w:rFonts w:ascii="Century" w:hAnsi="Century"/>
                <w:color w:val="000000" w:themeColor="text1"/>
              </w:rPr>
              <w:t>er</w:t>
            </w:r>
          </w:p>
        </w:tc>
        <w:tc>
          <w:tcPr>
            <w:tcW w:w="4896" w:type="dxa"/>
          </w:tcPr>
          <w:p w14:paraId="7D13C0B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policy review</w:t>
            </w:r>
          </w:p>
        </w:tc>
      </w:tr>
      <w:tr w:rsidR="005C2D83" w:rsidRPr="005C2D83" w14:paraId="58DEB2A3" w14:textId="77777777">
        <w:trPr>
          <w:jc w:val="center"/>
        </w:trPr>
        <w:tc>
          <w:tcPr>
            <w:tcW w:w="4896" w:type="dxa"/>
          </w:tcPr>
          <w:p w14:paraId="5A940EC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October</w:t>
            </w:r>
          </w:p>
        </w:tc>
        <w:tc>
          <w:tcPr>
            <w:tcW w:w="4896" w:type="dxa"/>
          </w:tcPr>
          <w:p w14:paraId="7D08E24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Vulnerability governance review</w:t>
            </w:r>
          </w:p>
        </w:tc>
      </w:tr>
      <w:tr w:rsidR="005C2D83" w:rsidRPr="005C2D83" w14:paraId="6C690FC3" w14:textId="77777777">
        <w:trPr>
          <w:jc w:val="center"/>
        </w:trPr>
        <w:tc>
          <w:tcPr>
            <w:tcW w:w="4896" w:type="dxa"/>
          </w:tcPr>
          <w:p w14:paraId="7277EB0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November</w:t>
            </w:r>
          </w:p>
        </w:tc>
        <w:tc>
          <w:tcPr>
            <w:tcW w:w="4896" w:type="dxa"/>
          </w:tcPr>
          <w:p w14:paraId="7D81821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budget and investment review</w:t>
            </w:r>
          </w:p>
        </w:tc>
      </w:tr>
      <w:tr w:rsidR="000A5B38" w:rsidRPr="005C2D83" w14:paraId="25DD689E" w14:textId="77777777">
        <w:trPr>
          <w:jc w:val="center"/>
        </w:trPr>
        <w:tc>
          <w:tcPr>
            <w:tcW w:w="4896" w:type="dxa"/>
          </w:tcPr>
          <w:p w14:paraId="158E907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December</w:t>
            </w:r>
          </w:p>
        </w:tc>
        <w:tc>
          <w:tcPr>
            <w:tcW w:w="4896" w:type="dxa"/>
          </w:tcPr>
          <w:p w14:paraId="1949235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Annual governance effectiveness review</w:t>
            </w:r>
          </w:p>
        </w:tc>
      </w:tr>
    </w:tbl>
    <w:p w14:paraId="3A034F17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2BFDE918" w14:textId="77777777" w:rsidR="000A5B38" w:rsidRPr="005C2D83" w:rsidRDefault="00680F12">
      <w:pPr>
        <w:pStyle w:val="Titre1"/>
        <w:rPr>
          <w:rFonts w:ascii="Century" w:hAnsi="Century"/>
          <w:b w:val="0"/>
          <w:bCs w:val="0"/>
          <w:i/>
          <w:iCs/>
          <w:color w:val="000000" w:themeColor="text1"/>
        </w:rPr>
      </w:pPr>
      <w:r w:rsidRPr="005C2D83">
        <w:rPr>
          <w:rFonts w:ascii="Century" w:hAnsi="Century"/>
          <w:b w:val="0"/>
          <w:bCs w:val="0"/>
          <w:i/>
          <w:iCs/>
          <w:color w:val="000000" w:themeColor="text1"/>
        </w:rPr>
        <w:t>TASK 4 — RACI ACCOUNTABILITY MATRIX</w:t>
      </w:r>
    </w:p>
    <w:p w14:paraId="46E3F8FD" w14:textId="1E7FB5D4" w:rsidR="000A5B38" w:rsidRPr="005C2D83" w:rsidRDefault="00680F12">
      <w:pPr>
        <w:pStyle w:val="Titre2"/>
        <w:rPr>
          <w:rFonts w:ascii="Century" w:hAnsi="Century"/>
          <w:b w:val="0"/>
          <w:bCs w:val="0"/>
          <w:i/>
          <w:iCs/>
          <w:color w:val="000000" w:themeColor="text1"/>
        </w:rPr>
      </w:pPr>
      <w:r w:rsidRPr="005C2D83">
        <w:rPr>
          <w:rFonts w:ascii="Century" w:hAnsi="Century"/>
          <w:b w:val="0"/>
          <w:bCs w:val="0"/>
          <w:i/>
          <w:iCs/>
          <w:color w:val="000000" w:themeColor="text1"/>
        </w:rPr>
        <w:t xml:space="preserve">4.1 </w:t>
      </w:r>
      <w:proofErr w:type="spellStart"/>
      <w:r w:rsidRPr="005C2D83">
        <w:rPr>
          <w:rFonts w:ascii="Century" w:hAnsi="Century"/>
          <w:b w:val="0"/>
          <w:bCs w:val="0"/>
          <w:i/>
          <w:iCs/>
          <w:color w:val="000000" w:themeColor="text1"/>
        </w:rPr>
        <w:t>TechGlobal</w:t>
      </w:r>
      <w:proofErr w:type="spellEnd"/>
      <w:r w:rsidRPr="005C2D83">
        <w:rPr>
          <w:rFonts w:ascii="Century" w:hAnsi="Century"/>
          <w:b w:val="0"/>
          <w:bCs w:val="0"/>
          <w:i/>
          <w:iCs/>
          <w:color w:val="000000" w:themeColor="text1"/>
        </w:rPr>
        <w:t xml:space="preserve"> RACI Matrix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874"/>
        <w:gridCol w:w="784"/>
        <w:gridCol w:w="833"/>
        <w:gridCol w:w="1228"/>
        <w:gridCol w:w="551"/>
        <w:gridCol w:w="840"/>
        <w:gridCol w:w="1032"/>
        <w:gridCol w:w="679"/>
        <w:gridCol w:w="604"/>
        <w:gridCol w:w="944"/>
      </w:tblGrid>
      <w:tr w:rsidR="005C2D83" w:rsidRPr="005C2D83" w14:paraId="62360E31" w14:textId="77777777" w:rsidTr="00A17993">
        <w:trPr>
          <w:jc w:val="center"/>
        </w:trPr>
        <w:tc>
          <w:tcPr>
            <w:tcW w:w="1639" w:type="dxa"/>
            <w:shd w:val="clear" w:color="auto" w:fill="D9EAF7"/>
            <w:vAlign w:val="center"/>
          </w:tcPr>
          <w:p w14:paraId="32D3CF6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Activity</w:t>
            </w:r>
          </w:p>
        </w:tc>
        <w:tc>
          <w:tcPr>
            <w:tcW w:w="874" w:type="dxa"/>
            <w:shd w:val="clear" w:color="auto" w:fill="D9EAF7"/>
            <w:vAlign w:val="center"/>
          </w:tcPr>
          <w:p w14:paraId="02C7DBC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Board</w:t>
            </w:r>
          </w:p>
        </w:tc>
        <w:tc>
          <w:tcPr>
            <w:tcW w:w="784" w:type="dxa"/>
            <w:shd w:val="clear" w:color="auto" w:fill="D9EAF7"/>
            <w:vAlign w:val="center"/>
          </w:tcPr>
          <w:p w14:paraId="484696A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CEO</w:t>
            </w:r>
          </w:p>
        </w:tc>
        <w:tc>
          <w:tcPr>
            <w:tcW w:w="833" w:type="dxa"/>
            <w:shd w:val="clear" w:color="auto" w:fill="D9EAF7"/>
            <w:vAlign w:val="center"/>
          </w:tcPr>
          <w:p w14:paraId="570ED4E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CISO</w:t>
            </w:r>
          </w:p>
        </w:tc>
        <w:tc>
          <w:tcPr>
            <w:tcW w:w="1228" w:type="dxa"/>
            <w:shd w:val="clear" w:color="auto" w:fill="D9EAF7"/>
            <w:vAlign w:val="center"/>
          </w:tcPr>
          <w:p w14:paraId="6F0A3D9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CRO/Risk</w:t>
            </w:r>
          </w:p>
        </w:tc>
        <w:tc>
          <w:tcPr>
            <w:tcW w:w="551" w:type="dxa"/>
            <w:shd w:val="clear" w:color="auto" w:fill="D9EAF7"/>
          </w:tcPr>
          <w:p w14:paraId="00B8EBB0" w14:textId="77777777" w:rsidR="00A17993" w:rsidRPr="005C2D83" w:rsidRDefault="00A17993">
            <w:pPr>
              <w:rPr>
                <w:rFonts w:ascii="Century" w:hAnsi="Century"/>
                <w:b/>
                <w:color w:val="000000" w:themeColor="text1"/>
              </w:rPr>
            </w:pPr>
          </w:p>
        </w:tc>
        <w:tc>
          <w:tcPr>
            <w:tcW w:w="840" w:type="dxa"/>
            <w:shd w:val="clear" w:color="auto" w:fill="D9EAF7"/>
            <w:vAlign w:val="center"/>
          </w:tcPr>
          <w:p w14:paraId="76E8BE7C" w14:textId="008EC8C5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Legal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59E0A0F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Finance</w:t>
            </w:r>
          </w:p>
        </w:tc>
        <w:tc>
          <w:tcPr>
            <w:tcW w:w="679" w:type="dxa"/>
            <w:shd w:val="clear" w:color="auto" w:fill="D9EAF7"/>
            <w:vAlign w:val="center"/>
          </w:tcPr>
          <w:p w14:paraId="198B2E2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HR</w:t>
            </w:r>
          </w:p>
        </w:tc>
        <w:tc>
          <w:tcPr>
            <w:tcW w:w="604" w:type="dxa"/>
            <w:shd w:val="clear" w:color="auto" w:fill="D9EAF7"/>
            <w:vAlign w:val="center"/>
          </w:tcPr>
          <w:p w14:paraId="0B7701B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IT</w:t>
            </w:r>
          </w:p>
        </w:tc>
        <w:tc>
          <w:tcPr>
            <w:tcW w:w="944" w:type="dxa"/>
            <w:shd w:val="clear" w:color="auto" w:fill="D9EAF7"/>
            <w:vAlign w:val="center"/>
          </w:tcPr>
          <w:p w14:paraId="6F887D2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BU Leader</w:t>
            </w:r>
          </w:p>
        </w:tc>
      </w:tr>
      <w:tr w:rsidR="005C2D83" w:rsidRPr="005C2D83" w14:paraId="2A115C63" w14:textId="77777777" w:rsidTr="00A17993">
        <w:trPr>
          <w:jc w:val="center"/>
        </w:trPr>
        <w:tc>
          <w:tcPr>
            <w:tcW w:w="1639" w:type="dxa"/>
          </w:tcPr>
          <w:p w14:paraId="4ECB638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Cybersecurity strategy approval</w:t>
            </w:r>
          </w:p>
        </w:tc>
        <w:tc>
          <w:tcPr>
            <w:tcW w:w="874" w:type="dxa"/>
          </w:tcPr>
          <w:p w14:paraId="6BB5802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2D01BFF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372E4D4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06589CB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2E66257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10815AEC" w14:textId="5136624E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4D89D0E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679" w:type="dxa"/>
          </w:tcPr>
          <w:p w14:paraId="3B20C89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73BD624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436F90C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57FFE713" w14:textId="77777777" w:rsidTr="00A17993">
        <w:trPr>
          <w:jc w:val="center"/>
        </w:trPr>
        <w:tc>
          <w:tcPr>
            <w:tcW w:w="1639" w:type="dxa"/>
          </w:tcPr>
          <w:p w14:paraId="771209B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Security policy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approval</w:t>
            </w:r>
          </w:p>
        </w:tc>
        <w:tc>
          <w:tcPr>
            <w:tcW w:w="874" w:type="dxa"/>
          </w:tcPr>
          <w:p w14:paraId="0A0CBEA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>I</w:t>
            </w:r>
          </w:p>
        </w:tc>
        <w:tc>
          <w:tcPr>
            <w:tcW w:w="784" w:type="dxa"/>
          </w:tcPr>
          <w:p w14:paraId="25FBC80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473615A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00E88DD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11AE61E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74964E77" w14:textId="1FB8DACB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454D1182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38A58B5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41E007D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4A9883A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3EEBD88E" w14:textId="77777777" w:rsidTr="00A17993">
        <w:trPr>
          <w:jc w:val="center"/>
        </w:trPr>
        <w:tc>
          <w:tcPr>
            <w:tcW w:w="1639" w:type="dxa"/>
          </w:tcPr>
          <w:p w14:paraId="0F50A75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Enterprise cyber-risk assessment</w:t>
            </w:r>
          </w:p>
        </w:tc>
        <w:tc>
          <w:tcPr>
            <w:tcW w:w="874" w:type="dxa"/>
          </w:tcPr>
          <w:p w14:paraId="2430432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6A8C9F0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833" w:type="dxa"/>
          </w:tcPr>
          <w:p w14:paraId="2FBEDA4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47C8380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551" w:type="dxa"/>
          </w:tcPr>
          <w:p w14:paraId="2F86A53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671AF9ED" w14:textId="69EFCC89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10F2E39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5111362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1C572F0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57B4674D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10E31B71" w14:textId="77777777" w:rsidTr="00A17993">
        <w:trPr>
          <w:jc w:val="center"/>
        </w:trPr>
        <w:tc>
          <w:tcPr>
            <w:tcW w:w="1639" w:type="dxa"/>
          </w:tcPr>
          <w:p w14:paraId="78DF826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acceptance</w:t>
            </w:r>
          </w:p>
        </w:tc>
        <w:tc>
          <w:tcPr>
            <w:tcW w:w="874" w:type="dxa"/>
          </w:tcPr>
          <w:p w14:paraId="319B43F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2C8B801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A*</w:t>
            </w:r>
          </w:p>
        </w:tc>
        <w:tc>
          <w:tcPr>
            <w:tcW w:w="833" w:type="dxa"/>
          </w:tcPr>
          <w:p w14:paraId="7EBE145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228" w:type="dxa"/>
          </w:tcPr>
          <w:p w14:paraId="5D1F8F4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551" w:type="dxa"/>
          </w:tcPr>
          <w:p w14:paraId="140E288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1EC91EEB" w14:textId="5B7E36EE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24B3DBB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2300B3C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6CFCB66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35EE453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335E518D" w14:textId="77777777" w:rsidTr="00A17993">
        <w:trPr>
          <w:jc w:val="center"/>
        </w:trPr>
        <w:tc>
          <w:tcPr>
            <w:tcW w:w="1639" w:type="dxa"/>
          </w:tcPr>
          <w:p w14:paraId="73A06F3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budget approval</w:t>
            </w:r>
          </w:p>
        </w:tc>
        <w:tc>
          <w:tcPr>
            <w:tcW w:w="874" w:type="dxa"/>
          </w:tcPr>
          <w:p w14:paraId="6CD6FDB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0ED0885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710B14E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512D843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5D87A94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5A36D321" w14:textId="7E354AE8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1032" w:type="dxa"/>
          </w:tcPr>
          <w:p w14:paraId="044E70F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679" w:type="dxa"/>
          </w:tcPr>
          <w:p w14:paraId="505023E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2D7EE21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77B344A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1D30AD9F" w14:textId="77777777" w:rsidTr="00A17993">
        <w:trPr>
          <w:jc w:val="center"/>
        </w:trPr>
        <w:tc>
          <w:tcPr>
            <w:tcW w:w="1639" w:type="dxa"/>
          </w:tcPr>
          <w:p w14:paraId="446B6AC2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architecture approval</w:t>
            </w:r>
          </w:p>
        </w:tc>
        <w:tc>
          <w:tcPr>
            <w:tcW w:w="874" w:type="dxa"/>
          </w:tcPr>
          <w:p w14:paraId="67EB7AD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4FD3F580" w14:textId="42420C88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833" w:type="dxa"/>
          </w:tcPr>
          <w:p w14:paraId="117E0B3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1228" w:type="dxa"/>
          </w:tcPr>
          <w:p w14:paraId="2B80FD0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7DF11E2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0E787474" w14:textId="38750FEF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1032" w:type="dxa"/>
          </w:tcPr>
          <w:p w14:paraId="3E18375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4210F7F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2005073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7BF2659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41B4BF19" w14:textId="77777777" w:rsidTr="00A17993">
        <w:trPr>
          <w:jc w:val="center"/>
        </w:trPr>
        <w:tc>
          <w:tcPr>
            <w:tcW w:w="1639" w:type="dxa"/>
          </w:tcPr>
          <w:p w14:paraId="6F817D2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Third-party security review</w:t>
            </w:r>
          </w:p>
        </w:tc>
        <w:tc>
          <w:tcPr>
            <w:tcW w:w="874" w:type="dxa"/>
          </w:tcPr>
          <w:p w14:paraId="55AB63E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2B24CF9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833" w:type="dxa"/>
          </w:tcPr>
          <w:p w14:paraId="3E3BB30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1228" w:type="dxa"/>
          </w:tcPr>
          <w:p w14:paraId="135127E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32CE3EA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2B75BB5D" w14:textId="261FF38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5EA1B9D2" w14:textId="219C5DD2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679" w:type="dxa"/>
          </w:tcPr>
          <w:p w14:paraId="7D62A1B9" w14:textId="06FCACCE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604" w:type="dxa"/>
          </w:tcPr>
          <w:p w14:paraId="4BE340C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6837DA0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07BB2F5D" w14:textId="77777777" w:rsidTr="00A17993">
        <w:trPr>
          <w:jc w:val="center"/>
        </w:trPr>
        <w:tc>
          <w:tcPr>
            <w:tcW w:w="1639" w:type="dxa"/>
          </w:tcPr>
          <w:p w14:paraId="4E13F98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Access governance</w:t>
            </w:r>
          </w:p>
        </w:tc>
        <w:tc>
          <w:tcPr>
            <w:tcW w:w="874" w:type="dxa"/>
          </w:tcPr>
          <w:p w14:paraId="6F58628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2CC958A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833" w:type="dxa"/>
          </w:tcPr>
          <w:p w14:paraId="435B80C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1228" w:type="dxa"/>
          </w:tcPr>
          <w:p w14:paraId="2868E26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0C0939F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5AC38B5F" w14:textId="2D46B136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1AC6AD8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52FCE59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604" w:type="dxa"/>
          </w:tcPr>
          <w:p w14:paraId="4B00DD3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7B33A7D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6339248B" w14:textId="77777777" w:rsidTr="00A17993">
        <w:trPr>
          <w:jc w:val="center"/>
        </w:trPr>
        <w:tc>
          <w:tcPr>
            <w:tcW w:w="1639" w:type="dxa"/>
          </w:tcPr>
          <w:p w14:paraId="3314BC42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Incident response governance</w:t>
            </w:r>
          </w:p>
        </w:tc>
        <w:tc>
          <w:tcPr>
            <w:tcW w:w="874" w:type="dxa"/>
          </w:tcPr>
          <w:p w14:paraId="3D86EFA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7CA535B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690B332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6DB55DE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25FD264D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61E0CD8C" w14:textId="4130C76D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1032" w:type="dxa"/>
          </w:tcPr>
          <w:p w14:paraId="083A514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404D977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604" w:type="dxa"/>
          </w:tcPr>
          <w:p w14:paraId="7BB9902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18DCA1D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</w:tr>
      <w:tr w:rsidR="005C2D83" w:rsidRPr="005C2D83" w14:paraId="689D4554" w14:textId="77777777" w:rsidTr="00A17993">
        <w:trPr>
          <w:jc w:val="center"/>
        </w:trPr>
        <w:tc>
          <w:tcPr>
            <w:tcW w:w="1639" w:type="dxa"/>
          </w:tcPr>
          <w:p w14:paraId="223BE33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Material incident escalation</w:t>
            </w:r>
          </w:p>
        </w:tc>
        <w:tc>
          <w:tcPr>
            <w:tcW w:w="874" w:type="dxa"/>
          </w:tcPr>
          <w:p w14:paraId="6E89162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1C23366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0DEAC04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01DFE3E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1F6EE51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0536C28E" w14:textId="7BB30FB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20D2667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42B148B2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263EBA1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4F75788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</w:tr>
      <w:tr w:rsidR="005C2D83" w:rsidRPr="005C2D83" w14:paraId="5F2AE973" w14:textId="77777777" w:rsidTr="00A17993">
        <w:trPr>
          <w:jc w:val="center"/>
        </w:trPr>
        <w:tc>
          <w:tcPr>
            <w:tcW w:w="1639" w:type="dxa"/>
          </w:tcPr>
          <w:p w14:paraId="74799E8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Regulatory notification decision</w:t>
            </w:r>
          </w:p>
        </w:tc>
        <w:tc>
          <w:tcPr>
            <w:tcW w:w="874" w:type="dxa"/>
          </w:tcPr>
          <w:p w14:paraId="78C27F6B" w14:textId="6BC6A58A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784" w:type="dxa"/>
          </w:tcPr>
          <w:p w14:paraId="589F33DD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6E959932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228" w:type="dxa"/>
          </w:tcPr>
          <w:p w14:paraId="7C23134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3168084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68A7EF19" w14:textId="7C570502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032" w:type="dxa"/>
          </w:tcPr>
          <w:p w14:paraId="0D8C7D9C" w14:textId="73DAB883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679" w:type="dxa"/>
          </w:tcPr>
          <w:p w14:paraId="61BB6FE2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6EC0235D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5C19A71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</w:tr>
      <w:tr w:rsidR="005C2D83" w:rsidRPr="005C2D83" w14:paraId="3680233A" w14:textId="77777777" w:rsidTr="00A17993">
        <w:trPr>
          <w:jc w:val="center"/>
        </w:trPr>
        <w:tc>
          <w:tcPr>
            <w:tcW w:w="1639" w:type="dxa"/>
          </w:tcPr>
          <w:p w14:paraId="0C4ADC6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Security awareness </w:t>
            </w:r>
            <w:proofErr w:type="spellStart"/>
            <w:r w:rsidRPr="005C2D83">
              <w:rPr>
                <w:rFonts w:ascii="Century" w:hAnsi="Century"/>
                <w:color w:val="000000" w:themeColor="text1"/>
              </w:rPr>
              <w:t>programme</w:t>
            </w:r>
            <w:proofErr w:type="spellEnd"/>
          </w:p>
        </w:tc>
        <w:tc>
          <w:tcPr>
            <w:tcW w:w="874" w:type="dxa"/>
          </w:tcPr>
          <w:p w14:paraId="2EF676B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4036459E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833" w:type="dxa"/>
          </w:tcPr>
          <w:p w14:paraId="7D199C2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1228" w:type="dxa"/>
          </w:tcPr>
          <w:p w14:paraId="5A87A71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7BC6F81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2122A03C" w14:textId="7F124AA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4869E71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21D2B67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604" w:type="dxa"/>
          </w:tcPr>
          <w:p w14:paraId="2BAEE90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702E2CF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62654872" w14:textId="77777777" w:rsidTr="00A17993">
        <w:trPr>
          <w:jc w:val="center"/>
        </w:trPr>
        <w:tc>
          <w:tcPr>
            <w:tcW w:w="1639" w:type="dxa"/>
          </w:tcPr>
          <w:p w14:paraId="6CD428BB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Vulnerability remediation oversight</w:t>
            </w:r>
          </w:p>
        </w:tc>
        <w:tc>
          <w:tcPr>
            <w:tcW w:w="874" w:type="dxa"/>
          </w:tcPr>
          <w:p w14:paraId="222B84C6" w14:textId="554EF64E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784" w:type="dxa"/>
          </w:tcPr>
          <w:p w14:paraId="7A9156B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833" w:type="dxa"/>
          </w:tcPr>
          <w:p w14:paraId="34B808C4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1228" w:type="dxa"/>
          </w:tcPr>
          <w:p w14:paraId="133504D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6A2ABE9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7408A54B" w14:textId="1B280A95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1032" w:type="dxa"/>
          </w:tcPr>
          <w:p w14:paraId="0ABA16A0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2002ACA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21A642C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025DC543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14A9216E" w14:textId="77777777" w:rsidTr="00A17993">
        <w:trPr>
          <w:jc w:val="center"/>
        </w:trPr>
        <w:tc>
          <w:tcPr>
            <w:tcW w:w="1639" w:type="dxa"/>
          </w:tcPr>
          <w:p w14:paraId="6299249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continuity / recovery governance</w:t>
            </w:r>
          </w:p>
        </w:tc>
        <w:tc>
          <w:tcPr>
            <w:tcW w:w="874" w:type="dxa"/>
          </w:tcPr>
          <w:p w14:paraId="281DAA4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784" w:type="dxa"/>
          </w:tcPr>
          <w:p w14:paraId="1519E4B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833" w:type="dxa"/>
          </w:tcPr>
          <w:p w14:paraId="1D69386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228" w:type="dxa"/>
          </w:tcPr>
          <w:p w14:paraId="68A55FB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5F33F7F5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2B5503CF" w14:textId="04DE4CC6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777FF55C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679" w:type="dxa"/>
          </w:tcPr>
          <w:p w14:paraId="02F4D07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604" w:type="dxa"/>
          </w:tcPr>
          <w:p w14:paraId="04EE63C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944" w:type="dxa"/>
          </w:tcPr>
          <w:p w14:paraId="4876E7D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</w:tr>
      <w:tr w:rsidR="005C2D83" w:rsidRPr="005C2D83" w14:paraId="2D626338" w14:textId="77777777" w:rsidTr="00A17993">
        <w:trPr>
          <w:jc w:val="center"/>
        </w:trPr>
        <w:tc>
          <w:tcPr>
            <w:tcW w:w="1639" w:type="dxa"/>
          </w:tcPr>
          <w:p w14:paraId="37742698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Board cyber-risk reporting</w:t>
            </w:r>
          </w:p>
        </w:tc>
        <w:tc>
          <w:tcPr>
            <w:tcW w:w="874" w:type="dxa"/>
          </w:tcPr>
          <w:p w14:paraId="7DF96071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</w:t>
            </w:r>
          </w:p>
        </w:tc>
        <w:tc>
          <w:tcPr>
            <w:tcW w:w="784" w:type="dxa"/>
          </w:tcPr>
          <w:p w14:paraId="62F5DD5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833" w:type="dxa"/>
          </w:tcPr>
          <w:p w14:paraId="0D392A0D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</w:t>
            </w:r>
          </w:p>
        </w:tc>
        <w:tc>
          <w:tcPr>
            <w:tcW w:w="1228" w:type="dxa"/>
          </w:tcPr>
          <w:p w14:paraId="650EE739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551" w:type="dxa"/>
          </w:tcPr>
          <w:p w14:paraId="4031B28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840" w:type="dxa"/>
          </w:tcPr>
          <w:p w14:paraId="07C95FE2" w14:textId="67BC5C66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1032" w:type="dxa"/>
          </w:tcPr>
          <w:p w14:paraId="53702356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79" w:type="dxa"/>
          </w:tcPr>
          <w:p w14:paraId="100889F7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  <w:tc>
          <w:tcPr>
            <w:tcW w:w="604" w:type="dxa"/>
          </w:tcPr>
          <w:p w14:paraId="32A1758A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</w:t>
            </w:r>
          </w:p>
        </w:tc>
        <w:tc>
          <w:tcPr>
            <w:tcW w:w="944" w:type="dxa"/>
          </w:tcPr>
          <w:p w14:paraId="7726FA6F" w14:textId="77777777" w:rsidR="00A17993" w:rsidRPr="005C2D83" w:rsidRDefault="00A17993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</w:t>
            </w:r>
          </w:p>
        </w:tc>
      </w:tr>
    </w:tbl>
    <w:p w14:paraId="32852E97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3A59292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* Risk acceptance authority depends on the applicable threshold; material risks are escalated according to Task 5.</w:t>
      </w:r>
    </w:p>
    <w:p w14:paraId="098B9B67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4.2 Three Potentially Problematic Assignments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260"/>
        <w:gridCol w:w="3264"/>
      </w:tblGrid>
      <w:tr w:rsidR="005C2D83" w:rsidRPr="005C2D83" w14:paraId="1C545C3F" w14:textId="77777777" w:rsidTr="00A17993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4BD56BA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Assignment</w:t>
            </w:r>
          </w:p>
        </w:tc>
        <w:tc>
          <w:tcPr>
            <w:tcW w:w="4260" w:type="dxa"/>
            <w:shd w:val="clear" w:color="auto" w:fill="auto"/>
            <w:vAlign w:val="center"/>
          </w:tcPr>
          <w:p w14:paraId="55909A9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Problem</w:t>
            </w:r>
          </w:p>
        </w:tc>
        <w:tc>
          <w:tcPr>
            <w:tcW w:w="3264" w:type="dxa"/>
            <w:shd w:val="clear" w:color="auto" w:fill="auto"/>
            <w:vAlign w:val="center"/>
          </w:tcPr>
          <w:p w14:paraId="2787B5C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Resolution</w:t>
            </w:r>
          </w:p>
        </w:tc>
      </w:tr>
      <w:tr w:rsidR="005C2D83" w:rsidRPr="005C2D83" w14:paraId="3A05FF72" w14:textId="77777777" w:rsidTr="00A17993">
        <w:trPr>
          <w:jc w:val="center"/>
        </w:trPr>
        <w:tc>
          <w:tcPr>
            <w:tcW w:w="2268" w:type="dxa"/>
          </w:tcPr>
          <w:p w14:paraId="6B639A0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Incident </w:t>
            </w:r>
            <w:r w:rsidRPr="005C2D83">
              <w:rPr>
                <w:rFonts w:ascii="Century" w:hAnsi="Century"/>
                <w:color w:val="000000" w:themeColor="text1"/>
              </w:rPr>
              <w:t>response governance</w:t>
            </w:r>
          </w:p>
        </w:tc>
        <w:tc>
          <w:tcPr>
            <w:tcW w:w="4260" w:type="dxa"/>
          </w:tcPr>
          <w:p w14:paraId="6718E0C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 and IT are both marked Responsible, which may blur operational and governance responsibility.</w:t>
            </w:r>
          </w:p>
        </w:tc>
        <w:tc>
          <w:tcPr>
            <w:tcW w:w="3264" w:type="dxa"/>
          </w:tcPr>
          <w:p w14:paraId="4073EAD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 owns governance; IT executes technical response.</w:t>
            </w:r>
          </w:p>
        </w:tc>
      </w:tr>
      <w:tr w:rsidR="005C2D83" w:rsidRPr="005C2D83" w14:paraId="11741E06" w14:textId="77777777" w:rsidTr="00A17993">
        <w:trPr>
          <w:jc w:val="center"/>
        </w:trPr>
        <w:tc>
          <w:tcPr>
            <w:tcW w:w="2268" w:type="dxa"/>
          </w:tcPr>
          <w:p w14:paraId="1325861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Security budget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approval</w:t>
            </w:r>
          </w:p>
        </w:tc>
        <w:tc>
          <w:tcPr>
            <w:tcW w:w="4260" w:type="dxa"/>
          </w:tcPr>
          <w:p w14:paraId="2196EE3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 xml:space="preserve">Finance is Responsible while CEO is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Accountable; the distinction must be explicit.</w:t>
            </w:r>
          </w:p>
        </w:tc>
        <w:tc>
          <w:tcPr>
            <w:tcW w:w="3264" w:type="dxa"/>
          </w:tcPr>
          <w:p w14:paraId="363E5C9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 xml:space="preserve">Finance performs financial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analysis/control; CEO holds approval authority within mandate.</w:t>
            </w:r>
          </w:p>
        </w:tc>
      </w:tr>
      <w:tr w:rsidR="005C2D83" w:rsidRPr="005C2D83" w14:paraId="0DBBCE33" w14:textId="77777777" w:rsidTr="00A17993">
        <w:trPr>
          <w:jc w:val="center"/>
        </w:trPr>
        <w:tc>
          <w:tcPr>
            <w:tcW w:w="2268" w:type="dxa"/>
          </w:tcPr>
          <w:p w14:paraId="2EB092F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>Risk acceptance</w:t>
            </w:r>
          </w:p>
        </w:tc>
        <w:tc>
          <w:tcPr>
            <w:tcW w:w="4260" w:type="dxa"/>
          </w:tcPr>
          <w:p w14:paraId="4703C05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may be confused with the final decision authority.</w:t>
            </w:r>
          </w:p>
        </w:tc>
        <w:tc>
          <w:tcPr>
            <w:tcW w:w="3264" w:type="dxa"/>
          </w:tcPr>
          <w:p w14:paraId="75F6879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Risk provides assessment/challenge; acceptance</w:t>
            </w:r>
            <w:r w:rsidRPr="005C2D83">
              <w:rPr>
                <w:rFonts w:ascii="Century" w:hAnsi="Century"/>
                <w:color w:val="000000" w:themeColor="text1"/>
              </w:rPr>
              <w:t xml:space="preserve"> follows the defined authority threshold.</w:t>
            </w:r>
          </w:p>
        </w:tc>
      </w:tr>
    </w:tbl>
    <w:p w14:paraId="78E22C34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17C6B124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4.3 RACI Implementation Guide</w:t>
      </w:r>
    </w:p>
    <w:p w14:paraId="3C867B6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During planning, identify the Responsible and Accountable roles before work begins. During approvals, verify that the Accountable role has the appropriate authority. During incidents</w:t>
      </w:r>
      <w:r w:rsidRPr="005C2D83">
        <w:rPr>
          <w:rFonts w:ascii="Century" w:hAnsi="Century"/>
          <w:color w:val="000000" w:themeColor="text1"/>
        </w:rPr>
        <w:t>, use the RACI to avoid delays in determining who acts and who decides. Review the RACI when responsibilities, processes or organisational structures change.</w:t>
      </w:r>
    </w:p>
    <w:p w14:paraId="0E3A247F" w14:textId="77777777" w:rsidR="000A5B38" w:rsidRPr="005C2D83" w:rsidRDefault="00680F12">
      <w:pPr>
        <w:pStyle w:val="Titre1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TASK 5 — CYBER-RISK ESCALATION AND SEGREGATION OF DUTIES</w:t>
      </w:r>
    </w:p>
    <w:p w14:paraId="6796E770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5.1 Major Cyber-Risk Escalation Workflow</w:t>
      </w:r>
    </w:p>
    <w:p w14:paraId="2339A295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RISK / SECURITY ISSUE IDENTIFIED</w:t>
      </w:r>
    </w:p>
    <w:p w14:paraId="751F015F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41849226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INITIAL ASSESSMENT</w:t>
      </w:r>
    </w:p>
    <w:p w14:paraId="15E7805E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6D345157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DETERMINE RISK LEVEL</w:t>
      </w:r>
    </w:p>
    <w:p w14:paraId="0B21637B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1AF2165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Level 1 — Operational | Level 2 — Executive | Level 3 — Material / Board</w:t>
      </w:r>
    </w:p>
    <w:p w14:paraId="544ED07B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6EA0DB38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Appropriate decision authority</w:t>
      </w:r>
    </w:p>
    <w:p w14:paraId="2C06D9B3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1DDA604D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Decision recorded</w:t>
      </w:r>
    </w:p>
    <w:p w14:paraId="5DAD2D42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57AE1B29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Treatment / action</w:t>
      </w:r>
    </w:p>
    <w:p w14:paraId="4D54DA19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4B3FC1A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Monitoring</w:t>
      </w:r>
    </w:p>
    <w:p w14:paraId="67F42171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        ↓</w:t>
      </w:r>
    </w:p>
    <w:p w14:paraId="1BB3D1BB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lastRenderedPageBreak/>
        <w:t>Review / closure</w:t>
      </w:r>
    </w:p>
    <w:p w14:paraId="5C81B911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5.2 Risk Escalation Threshold — Appendix 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5C2D83" w:rsidRPr="005C2D83" w14:paraId="6A061F5D" w14:textId="77777777" w:rsidTr="005C2D83">
        <w:trPr>
          <w:jc w:val="center"/>
        </w:trPr>
        <w:tc>
          <w:tcPr>
            <w:tcW w:w="1958" w:type="dxa"/>
            <w:shd w:val="clear" w:color="auto" w:fill="auto"/>
            <w:vAlign w:val="center"/>
          </w:tcPr>
          <w:p w14:paraId="77A59B9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Level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74FB91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Example Trigger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87C864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Decision Authority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C38A40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Required Notification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3FA07B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Target Response Time</w:t>
            </w:r>
          </w:p>
        </w:tc>
      </w:tr>
      <w:tr w:rsidR="005C2D83" w:rsidRPr="005C2D83" w14:paraId="4AA77608" w14:textId="77777777">
        <w:trPr>
          <w:jc w:val="center"/>
        </w:trPr>
        <w:tc>
          <w:tcPr>
            <w:tcW w:w="1958" w:type="dxa"/>
          </w:tcPr>
          <w:p w14:paraId="07EE1B9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Level 1 — Operational</w:t>
            </w:r>
          </w:p>
        </w:tc>
        <w:tc>
          <w:tcPr>
            <w:tcW w:w="1958" w:type="dxa"/>
          </w:tcPr>
          <w:p w14:paraId="54A60DE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Contained security issue with</w:t>
            </w:r>
            <w:r w:rsidRPr="005C2D83">
              <w:rPr>
                <w:rFonts w:ascii="Century" w:hAnsi="Century"/>
                <w:color w:val="000000" w:themeColor="text1"/>
              </w:rPr>
              <w:t xml:space="preserve"> limited business impact</w:t>
            </w:r>
          </w:p>
        </w:tc>
        <w:tc>
          <w:tcPr>
            <w:tcW w:w="1958" w:type="dxa"/>
          </w:tcPr>
          <w:p w14:paraId="017150A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/ CISO within delegated authority</w:t>
            </w:r>
          </w:p>
        </w:tc>
        <w:tc>
          <w:tcPr>
            <w:tcW w:w="1958" w:type="dxa"/>
          </w:tcPr>
          <w:p w14:paraId="732F234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Security Governance Committee as required</w:t>
            </w:r>
          </w:p>
        </w:tc>
        <w:tc>
          <w:tcPr>
            <w:tcW w:w="1958" w:type="dxa"/>
          </w:tcPr>
          <w:p w14:paraId="72693F1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According to operational SLA</w:t>
            </w:r>
          </w:p>
        </w:tc>
      </w:tr>
      <w:tr w:rsidR="005C2D83" w:rsidRPr="005C2D83" w14:paraId="515E6884" w14:textId="77777777">
        <w:trPr>
          <w:jc w:val="center"/>
        </w:trPr>
        <w:tc>
          <w:tcPr>
            <w:tcW w:w="1958" w:type="dxa"/>
          </w:tcPr>
          <w:p w14:paraId="1567EECB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Level 2 — Executive</w:t>
            </w:r>
          </w:p>
        </w:tc>
        <w:tc>
          <w:tcPr>
            <w:tcW w:w="1958" w:type="dxa"/>
          </w:tcPr>
          <w:p w14:paraId="4F40AC13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Significant business impact, unresolved high risk or cross-business impact</w:t>
            </w:r>
          </w:p>
        </w:tc>
        <w:tc>
          <w:tcPr>
            <w:tcW w:w="1958" w:type="dxa"/>
          </w:tcPr>
          <w:p w14:paraId="7F1635E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 xml:space="preserve">CEO / Executive </w:t>
            </w:r>
            <w:r w:rsidRPr="005C2D83">
              <w:rPr>
                <w:rFonts w:ascii="Century" w:hAnsi="Century"/>
                <w:color w:val="000000" w:themeColor="text1"/>
              </w:rPr>
              <w:t>Security Council</w:t>
            </w:r>
          </w:p>
        </w:tc>
        <w:tc>
          <w:tcPr>
            <w:tcW w:w="1958" w:type="dxa"/>
          </w:tcPr>
          <w:p w14:paraId="121FF44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Executive management</w:t>
            </w:r>
          </w:p>
        </w:tc>
        <w:tc>
          <w:tcPr>
            <w:tcW w:w="1958" w:type="dxa"/>
          </w:tcPr>
          <w:p w14:paraId="6EEB3BB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Accelerated</w:t>
            </w:r>
          </w:p>
        </w:tc>
      </w:tr>
      <w:tr w:rsidR="000A5B38" w:rsidRPr="005C2D83" w14:paraId="4DFCEEA3" w14:textId="77777777">
        <w:trPr>
          <w:jc w:val="center"/>
        </w:trPr>
        <w:tc>
          <w:tcPr>
            <w:tcW w:w="1958" w:type="dxa"/>
          </w:tcPr>
          <w:p w14:paraId="2DDC812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Level 3 — Material / Board</w:t>
            </w:r>
          </w:p>
        </w:tc>
        <w:tc>
          <w:tcPr>
            <w:tcW w:w="1958" w:type="dxa"/>
          </w:tcPr>
          <w:p w14:paraId="7F543A1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Material cyber-risk requiring senior oversight</w:t>
            </w:r>
          </w:p>
        </w:tc>
        <w:tc>
          <w:tcPr>
            <w:tcW w:w="1958" w:type="dxa"/>
          </w:tcPr>
          <w:p w14:paraId="5D448A2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CEO / Board according to governance authority</w:t>
            </w:r>
          </w:p>
        </w:tc>
        <w:tc>
          <w:tcPr>
            <w:tcW w:w="1958" w:type="dxa"/>
          </w:tcPr>
          <w:p w14:paraId="2974A3E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Board and relevant executives</w:t>
            </w:r>
          </w:p>
        </w:tc>
        <w:tc>
          <w:tcPr>
            <w:tcW w:w="1958" w:type="dxa"/>
          </w:tcPr>
          <w:p w14:paraId="7AC0B56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Immediate / urgent</w:t>
            </w:r>
          </w:p>
        </w:tc>
      </w:tr>
    </w:tbl>
    <w:p w14:paraId="7B5BCD89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0BE8F74F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5.3 </w:t>
      </w:r>
      <w:r w:rsidRPr="005C2D83">
        <w:rPr>
          <w:rFonts w:ascii="Century" w:hAnsi="Century"/>
          <w:color w:val="000000" w:themeColor="text1"/>
        </w:rPr>
        <w:t>Segregation-of-Duties Weakness Register — Appendix F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92"/>
        <w:gridCol w:w="1632"/>
      </w:tblGrid>
      <w:tr w:rsidR="005C2D83" w:rsidRPr="005C2D83" w14:paraId="3C1D7636" w14:textId="77777777" w:rsidTr="00A17993">
        <w:trPr>
          <w:jc w:val="center"/>
        </w:trPr>
        <w:tc>
          <w:tcPr>
            <w:tcW w:w="1632" w:type="dxa"/>
            <w:shd w:val="clear" w:color="auto" w:fill="auto"/>
            <w:vAlign w:val="center"/>
          </w:tcPr>
          <w:p w14:paraId="036452F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ID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3ACF893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Weakness / Conflict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46D0321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Risk Created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3C1E62C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Roles Involved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74C0AF5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Recommended Control</w:t>
            </w:r>
          </w:p>
        </w:tc>
        <w:tc>
          <w:tcPr>
            <w:tcW w:w="1632" w:type="dxa"/>
            <w:shd w:val="clear" w:color="auto" w:fill="auto"/>
            <w:vAlign w:val="center"/>
          </w:tcPr>
          <w:p w14:paraId="1F132274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b/>
                <w:color w:val="000000" w:themeColor="text1"/>
              </w:rPr>
              <w:t>Residual Risk / Review</w:t>
            </w:r>
          </w:p>
        </w:tc>
      </w:tr>
      <w:tr w:rsidR="005C2D83" w:rsidRPr="005C2D83" w14:paraId="482F889A" w14:textId="77777777">
        <w:trPr>
          <w:jc w:val="center"/>
        </w:trPr>
        <w:tc>
          <w:tcPr>
            <w:tcW w:w="1632" w:type="dxa"/>
          </w:tcPr>
          <w:p w14:paraId="514CC6B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1</w:t>
            </w:r>
          </w:p>
        </w:tc>
        <w:tc>
          <w:tcPr>
            <w:tcW w:w="1632" w:type="dxa"/>
          </w:tcPr>
          <w:p w14:paraId="096F3C4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identifies and approves its own security risk.</w:t>
            </w:r>
          </w:p>
        </w:tc>
        <w:tc>
          <w:tcPr>
            <w:tcW w:w="1632" w:type="dxa"/>
          </w:tcPr>
          <w:p w14:paraId="0B696B8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Self-approval and insufficient challenge.</w:t>
            </w:r>
          </w:p>
        </w:tc>
        <w:tc>
          <w:tcPr>
            <w:tcW w:w="1632" w:type="dxa"/>
          </w:tcPr>
          <w:p w14:paraId="664F092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/ Risk</w:t>
            </w:r>
          </w:p>
        </w:tc>
        <w:tc>
          <w:tcPr>
            <w:tcW w:w="1632" w:type="dxa"/>
          </w:tcPr>
          <w:p w14:paraId="011F520D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Independent Risk review before acceptance.</w:t>
            </w:r>
          </w:p>
        </w:tc>
        <w:tc>
          <w:tcPr>
            <w:tcW w:w="1632" w:type="dxa"/>
          </w:tcPr>
          <w:p w14:paraId="299B5C4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Review annually.</w:t>
            </w:r>
          </w:p>
        </w:tc>
      </w:tr>
      <w:tr w:rsidR="005C2D83" w:rsidRPr="005C2D83" w14:paraId="0ED2CF50" w14:textId="77777777">
        <w:trPr>
          <w:jc w:val="center"/>
        </w:trPr>
        <w:tc>
          <w:tcPr>
            <w:tcW w:w="1632" w:type="dxa"/>
          </w:tcPr>
          <w:p w14:paraId="6298508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2</w:t>
            </w:r>
          </w:p>
        </w:tc>
        <w:tc>
          <w:tcPr>
            <w:tcW w:w="1632" w:type="dxa"/>
          </w:tcPr>
          <w:p w14:paraId="08552AD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implements controls and provides sole approval of security architecture.</w:t>
            </w:r>
          </w:p>
        </w:tc>
        <w:tc>
          <w:tcPr>
            <w:tcW w:w="1632" w:type="dxa"/>
          </w:tcPr>
          <w:p w14:paraId="4659935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Lack of independent security oversight.</w:t>
            </w:r>
          </w:p>
        </w:tc>
        <w:tc>
          <w:tcPr>
            <w:tcW w:w="1632" w:type="dxa"/>
          </w:tcPr>
          <w:p w14:paraId="75760F2C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/ CISO</w:t>
            </w:r>
          </w:p>
        </w:tc>
        <w:tc>
          <w:tcPr>
            <w:tcW w:w="1632" w:type="dxa"/>
          </w:tcPr>
          <w:p w14:paraId="4D310F62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CISO security approval.</w:t>
            </w:r>
          </w:p>
        </w:tc>
        <w:tc>
          <w:tcPr>
            <w:tcW w:w="1632" w:type="dxa"/>
          </w:tcPr>
          <w:p w14:paraId="6E27FAF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Review during architecture governance.</w:t>
            </w:r>
          </w:p>
        </w:tc>
      </w:tr>
      <w:tr w:rsidR="005C2D83" w:rsidRPr="005C2D83" w14:paraId="73606BD7" w14:textId="77777777">
        <w:trPr>
          <w:jc w:val="center"/>
        </w:trPr>
        <w:tc>
          <w:tcPr>
            <w:tcW w:w="1632" w:type="dxa"/>
          </w:tcPr>
          <w:p w14:paraId="4867E8E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3</w:t>
            </w:r>
          </w:p>
        </w:tc>
        <w:tc>
          <w:tcPr>
            <w:tcW w:w="1632" w:type="dxa"/>
          </w:tcPr>
          <w:p w14:paraId="555FED7E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Unit identifies and accepts its own material risk.</w:t>
            </w:r>
          </w:p>
        </w:tc>
        <w:tc>
          <w:tcPr>
            <w:tcW w:w="1632" w:type="dxa"/>
          </w:tcPr>
          <w:p w14:paraId="5C26DE5A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Business pressure may influence risk acceptance.</w:t>
            </w:r>
          </w:p>
        </w:tc>
        <w:tc>
          <w:tcPr>
            <w:tcW w:w="1632" w:type="dxa"/>
          </w:tcPr>
          <w:p w14:paraId="5A2D0BE5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BU / Risk</w:t>
            </w:r>
          </w:p>
        </w:tc>
        <w:tc>
          <w:tcPr>
            <w:tcW w:w="1632" w:type="dxa"/>
          </w:tcPr>
          <w:p w14:paraId="0D2E2AEF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Formal risk acceptance threshold.</w:t>
            </w:r>
          </w:p>
        </w:tc>
        <w:tc>
          <w:tcPr>
            <w:tcW w:w="1632" w:type="dxa"/>
          </w:tcPr>
          <w:p w14:paraId="3F31C507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Review during risk assessment.</w:t>
            </w:r>
          </w:p>
        </w:tc>
      </w:tr>
      <w:tr w:rsidR="005C2D83" w:rsidRPr="005C2D83" w14:paraId="3F8C7A20" w14:textId="77777777">
        <w:trPr>
          <w:jc w:val="center"/>
        </w:trPr>
        <w:tc>
          <w:tcPr>
            <w:tcW w:w="1632" w:type="dxa"/>
          </w:tcPr>
          <w:p w14:paraId="55161030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4</w:t>
            </w:r>
          </w:p>
        </w:tc>
        <w:tc>
          <w:tcPr>
            <w:tcW w:w="1632" w:type="dxa"/>
          </w:tcPr>
          <w:p w14:paraId="4A77EFA8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Incident-handling team determines whether an incident should be escal</w:t>
            </w:r>
            <w:r w:rsidRPr="005C2D83">
              <w:rPr>
                <w:rFonts w:ascii="Century" w:hAnsi="Century"/>
                <w:color w:val="000000" w:themeColor="text1"/>
              </w:rPr>
              <w:t xml:space="preserve">ated without independent </w:t>
            </w:r>
            <w:r w:rsidRPr="005C2D83">
              <w:rPr>
                <w:rFonts w:ascii="Century" w:hAnsi="Century"/>
                <w:color w:val="000000" w:themeColor="text1"/>
              </w:rPr>
              <w:lastRenderedPageBreak/>
              <w:t>challenge.</w:t>
            </w:r>
          </w:p>
        </w:tc>
        <w:tc>
          <w:tcPr>
            <w:tcW w:w="1632" w:type="dxa"/>
          </w:tcPr>
          <w:p w14:paraId="7631E14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lastRenderedPageBreak/>
              <w:t>Delayed or inconsistent escalation.</w:t>
            </w:r>
          </w:p>
        </w:tc>
        <w:tc>
          <w:tcPr>
            <w:tcW w:w="1632" w:type="dxa"/>
          </w:tcPr>
          <w:p w14:paraId="729CA4E1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IT / CISO</w:t>
            </w:r>
          </w:p>
        </w:tc>
        <w:tc>
          <w:tcPr>
            <w:tcW w:w="1632" w:type="dxa"/>
          </w:tcPr>
          <w:p w14:paraId="7E6E3336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Defined escalation thresholds and CISO oversight.</w:t>
            </w:r>
          </w:p>
        </w:tc>
        <w:tc>
          <w:tcPr>
            <w:tcW w:w="1632" w:type="dxa"/>
          </w:tcPr>
          <w:p w14:paraId="64AF98F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Review after major incidents.</w:t>
            </w:r>
          </w:p>
        </w:tc>
      </w:tr>
      <w:tr w:rsidR="005C2D83" w:rsidRPr="005C2D83" w14:paraId="6088E913" w14:textId="77777777">
        <w:trPr>
          <w:jc w:val="center"/>
        </w:trPr>
        <w:tc>
          <w:tcPr>
            <w:tcW w:w="1632" w:type="dxa"/>
          </w:tcPr>
          <w:p w14:paraId="0B35E629" w14:textId="77777777" w:rsidR="000A5B38" w:rsidRPr="005C2D83" w:rsidRDefault="00680F12">
            <w:pPr>
              <w:rPr>
                <w:rFonts w:ascii="Century" w:hAnsi="Century"/>
                <w:color w:val="000000" w:themeColor="text1"/>
              </w:rPr>
            </w:pPr>
            <w:r w:rsidRPr="005C2D83">
              <w:rPr>
                <w:rFonts w:ascii="Century" w:hAnsi="Century"/>
                <w:color w:val="000000" w:themeColor="text1"/>
              </w:rPr>
              <w:t>5</w:t>
            </w:r>
          </w:p>
        </w:tc>
        <w:tc>
          <w:tcPr>
            <w:tcW w:w="1632" w:type="dxa"/>
          </w:tcPr>
          <w:p w14:paraId="2DCB5FC7" w14:textId="4828648F" w:rsidR="000A5B38" w:rsidRPr="005C2D83" w:rsidRDefault="000A5B38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1632" w:type="dxa"/>
          </w:tcPr>
          <w:p w14:paraId="6E262790" w14:textId="7E921FEE" w:rsidR="000A5B38" w:rsidRPr="005C2D83" w:rsidRDefault="000A5B38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1632" w:type="dxa"/>
          </w:tcPr>
          <w:p w14:paraId="48C8AA16" w14:textId="647888E9" w:rsidR="000A5B38" w:rsidRPr="005C2D83" w:rsidRDefault="000A5B38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1632" w:type="dxa"/>
          </w:tcPr>
          <w:p w14:paraId="5531E1B0" w14:textId="1492FD5F" w:rsidR="000A5B38" w:rsidRPr="005C2D83" w:rsidRDefault="000A5B38">
            <w:pPr>
              <w:rPr>
                <w:rFonts w:ascii="Century" w:hAnsi="Century"/>
                <w:color w:val="000000" w:themeColor="text1"/>
              </w:rPr>
            </w:pPr>
          </w:p>
        </w:tc>
        <w:tc>
          <w:tcPr>
            <w:tcW w:w="1632" w:type="dxa"/>
          </w:tcPr>
          <w:p w14:paraId="75ABF2A7" w14:textId="01AC8312" w:rsidR="000A5B38" w:rsidRPr="005C2D83" w:rsidRDefault="000A5B38">
            <w:pPr>
              <w:rPr>
                <w:rFonts w:ascii="Century" w:hAnsi="Century"/>
                <w:color w:val="000000" w:themeColor="text1"/>
              </w:rPr>
            </w:pPr>
          </w:p>
        </w:tc>
      </w:tr>
    </w:tbl>
    <w:p w14:paraId="7F627A34" w14:textId="77777777" w:rsidR="000A5B38" w:rsidRPr="005C2D83" w:rsidRDefault="000A5B38">
      <w:pPr>
        <w:rPr>
          <w:rFonts w:ascii="Century" w:hAnsi="Century"/>
          <w:color w:val="000000" w:themeColor="text1"/>
        </w:rPr>
      </w:pPr>
    </w:p>
    <w:p w14:paraId="7FF72A34" w14:textId="77777777" w:rsidR="000A5B38" w:rsidRPr="005C2D83" w:rsidRDefault="00680F12">
      <w:pPr>
        <w:pStyle w:val="Titre2"/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5.4 Decision Recording and Assurance Note</w:t>
      </w:r>
    </w:p>
    <w:p w14:paraId="481AFCE9" w14:textId="77777777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>Every significant decision should be recorded in the Decision Log with the date, issue or risk, risk level, de</w:t>
      </w:r>
      <w:r w:rsidRPr="005C2D83">
        <w:rPr>
          <w:rFonts w:ascii="Century" w:hAnsi="Century"/>
          <w:color w:val="000000" w:themeColor="text1"/>
        </w:rPr>
        <w:t>cision owner, decision, rationale, actions, action owner, review date and closure status.</w:t>
      </w:r>
    </w:p>
    <w:p w14:paraId="4E653F66" w14:textId="7115682E" w:rsidR="000A5B38" w:rsidRPr="005C2D83" w:rsidRDefault="00680F12">
      <w:pPr>
        <w:rPr>
          <w:rFonts w:ascii="Century" w:hAnsi="Century"/>
          <w:color w:val="000000" w:themeColor="text1"/>
        </w:rPr>
      </w:pPr>
      <w:r w:rsidRPr="005C2D83">
        <w:rPr>
          <w:rFonts w:ascii="Century" w:hAnsi="Century"/>
          <w:color w:val="000000" w:themeColor="text1"/>
        </w:rPr>
        <w:t xml:space="preserve">The </w:t>
      </w:r>
      <w:r w:rsidRPr="005C2D83">
        <w:rPr>
          <w:rFonts w:ascii="Century" w:hAnsi="Century"/>
          <w:color w:val="000000" w:themeColor="text1"/>
        </w:rPr>
        <w:t>Identify</w:t>
      </w:r>
      <w:r w:rsidR="00A17993" w:rsidRPr="005C2D83">
        <w:rPr>
          <w:rFonts w:ascii="Century" w:hAnsi="Century"/>
          <w:color w:val="000000" w:themeColor="text1"/>
        </w:rPr>
        <w:t xml:space="preserve"> path is</w:t>
      </w:r>
      <w:r w:rsidRPr="005C2D83">
        <w:rPr>
          <w:rFonts w:ascii="Century" w:hAnsi="Century"/>
          <w:color w:val="000000" w:themeColor="text1"/>
        </w:rPr>
        <w:t xml:space="preserve"> → Assess → Escalate → Decide → Record → Treat → Review → Close. This provides an auditable record of significant govern</w:t>
      </w:r>
      <w:r w:rsidRPr="005C2D83">
        <w:rPr>
          <w:rFonts w:ascii="Century" w:hAnsi="Century"/>
          <w:color w:val="000000" w:themeColor="text1"/>
        </w:rPr>
        <w:t>ance decisions.</w:t>
      </w:r>
    </w:p>
    <w:sectPr w:rsidR="000A5B38" w:rsidRPr="005C2D8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38"/>
    <w:rsid w:val="0015074B"/>
    <w:rsid w:val="0029639D"/>
    <w:rsid w:val="00326F90"/>
    <w:rsid w:val="005C2D83"/>
    <w:rsid w:val="00680F12"/>
    <w:rsid w:val="00A17993"/>
    <w:rsid w:val="00AA1D8D"/>
    <w:rsid w:val="00B47730"/>
    <w:rsid w:val="00C70DF6"/>
    <w:rsid w:val="00CB0664"/>
    <w:rsid w:val="00DB59EF"/>
    <w:rsid w:val="00F93A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5A049"/>
  <w14:defaultImageDpi w14:val="300"/>
  <w15:docId w15:val="{3FC318E9-ED6E-4596-B3DF-9FF1FD28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2148</Words>
  <Characters>11814</Characters>
  <Application>Microsoft Office Word</Application>
  <DocSecurity>0</DocSecurity>
  <Lines>98</Lines>
  <Paragraphs>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COBAYE</cp:lastModifiedBy>
  <cp:revision>2</cp:revision>
  <dcterms:created xsi:type="dcterms:W3CDTF">2013-12-23T23:15:00Z</dcterms:created>
  <dcterms:modified xsi:type="dcterms:W3CDTF">2026-09-25T22:22:00Z</dcterms:modified>
  <cp:category/>
</cp:coreProperties>
</file>