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B71C"/>
    <w:p w14:paraId="226E29E5"/>
    <w:p w14:paraId="0C676A7C"/>
    <w:p w14:paraId="7BE1A1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3.0 新增AI用药问答界面</w:t>
      </w:r>
    </w:p>
    <w:p w14:paraId="4C822C5C">
      <w:r>
        <w:drawing>
          <wp:inline distT="0" distB="0" distL="114300" distR="114300">
            <wp:extent cx="2420620" cy="2254250"/>
            <wp:effectExtent l="0" t="0" r="5080" b="6350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7570" cy="1795780"/>
            <wp:effectExtent l="0" t="0" r="11430" b="762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7745" cy="2218690"/>
            <wp:effectExtent l="0" t="0" r="8255" b="381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5905" cy="2143125"/>
            <wp:effectExtent l="0" t="0" r="10795" b="3175"/>
            <wp:docPr id="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DF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并未介入功能，只改了框架</w:t>
      </w:r>
    </w:p>
    <w:p w14:paraId="26782D6D">
      <w:pPr>
        <w:rPr>
          <w:rFonts w:hint="eastAsia"/>
          <w:lang w:val="en-US" w:eastAsia="zh-CN"/>
        </w:rPr>
      </w:pPr>
    </w:p>
    <w:p w14:paraId="6D078F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高血压分级（1、2、3级高血压）仅记录即可，但需要关注不良反应是否与降压药有关 「用药变化」需要自动预警——比如「出院 DAPT → 现在单抗」，系统提示"抗血小板降级需确认疗程"，需要根据手术距今时间和辅助检查和症状判断 新增的数值字段（血钾/肌钙蛋白/血糖）细化到常规规则； 左主干病变纳入"高缺血"标签。</w:t>
      </w:r>
    </w:p>
    <w:p w14:paraId="326C3134">
      <w:pPr>
        <w:rPr>
          <w:rFonts w:hint="default"/>
          <w:lang w:val="en-US" w:eastAsia="zh-CN"/>
        </w:rPr>
      </w:pPr>
    </w:p>
    <w:p w14:paraId="04DF7B6F">
      <w:r>
        <w:drawing>
          <wp:inline distT="0" distB="0" distL="114300" distR="114300">
            <wp:extent cx="4394200" cy="4573905"/>
            <wp:effectExtent l="0" t="0" r="0" b="1079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57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972685"/>
            <wp:effectExtent l="0" t="0" r="10795" b="5715"/>
            <wp:docPr id="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33725" cy="3074035"/>
            <wp:effectExtent l="0" t="0" r="3175" b="12065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4735" cy="5316220"/>
            <wp:effectExtent l="0" t="0" r="12065" b="5080"/>
            <wp:docPr id="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53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A3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检验单拍照识别 - 未加OCR</w:t>
      </w:r>
    </w:p>
    <w:p w14:paraId="330A707F">
      <w:pPr>
        <w:rPr>
          <w:rFonts w:hint="eastAsia"/>
          <w:lang w:val="en-US" w:eastAsia="zh-CN"/>
        </w:rPr>
      </w:pPr>
    </w:p>
    <w:p w14:paraId="35AC0819"/>
    <w:p w14:paraId="066A501C">
      <w:pPr>
        <w:rPr>
          <w:rFonts w:hint="default" w:eastAsiaTheme="minorEastAsia"/>
          <w:lang w:val="en-US" w:eastAsia="zh-CN"/>
        </w:rPr>
      </w:pPr>
    </w:p>
    <w:p w14:paraId="05134C4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3441065"/>
            <wp:effectExtent l="0" t="0" r="12065" b="635"/>
            <wp:docPr id="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980305"/>
            <wp:effectExtent l="0" t="0" r="1905" b="10795"/>
            <wp:docPr id="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98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5644515"/>
            <wp:effectExtent l="0" t="0" r="1270" b="6985"/>
            <wp:docPr id="4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4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ZiYWZlNmIwNzExYjJlOWViYTVkMDc5Yzg1MmY5NDAifQ=="/>
  </w:docVars>
  <w:rsids>
    <w:rsidRoot w:val="00000000"/>
    <w:rsid w:val="0B333F9E"/>
    <w:rsid w:val="0CBB5632"/>
    <w:rsid w:val="0FCB245E"/>
    <w:rsid w:val="176E7F88"/>
    <w:rsid w:val="193D7456"/>
    <w:rsid w:val="1E6020B9"/>
    <w:rsid w:val="1E61601B"/>
    <w:rsid w:val="23DF5F5F"/>
    <w:rsid w:val="25974A30"/>
    <w:rsid w:val="356D4EB9"/>
    <w:rsid w:val="3A9E4279"/>
    <w:rsid w:val="48BB5E19"/>
    <w:rsid w:val="495A0092"/>
    <w:rsid w:val="5E4F27C4"/>
    <w:rsid w:val="5EFB21F3"/>
    <w:rsid w:val="665C6CBF"/>
    <w:rsid w:val="666B2D5D"/>
    <w:rsid w:val="67120DE0"/>
    <w:rsid w:val="6EFE5FDF"/>
    <w:rsid w:val="6F6A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513</Words>
  <Characters>1079</Characters>
  <Lines>0</Lines>
  <Paragraphs>0</Paragraphs>
  <TotalTime>102</TotalTime>
  <ScaleCrop>false</ScaleCrop>
  <LinksUpToDate>false</LinksUpToDate>
  <CharactersWithSpaces>1146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2026-10-30T02:46:23Z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