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B55008">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B55008">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B55008">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B55008">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B55008">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B55008">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B55008">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B55008">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B55008">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B55008">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B55008">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B55008">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B55008">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B55008">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B55008">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B55008">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B55008">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B55008">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B55008">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B55008">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B55008">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B55008">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B55008">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B55008">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B55008">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B55008">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B55008">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B55008">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B55008">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B55008">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B55008">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B55008">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B55008">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B55008">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B55008">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B55008">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w:t>
      </w:r>
      <w:proofErr w:type="spellStart"/>
      <w:r w:rsidR="000178C8">
        <w:t>MUSHe</w:t>
      </w:r>
      <w:r w:rsidR="00EF5C70">
        <w:t>s</w:t>
      </w:r>
      <w:proofErr w:type="spellEnd"/>
      <w:r w:rsidR="00EF5C70">
        <w:t xml:space="preserve">).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714349"/>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714350"/>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 xml:space="preserve">ame.  (Called the </w:t>
      </w:r>
      <w:proofErr w:type="spellStart"/>
      <w:r w:rsidR="004E7AE1">
        <w:t>Gamemaster</w:t>
      </w:r>
      <w:proofErr w:type="spellEnd"/>
      <w:r w:rsidR="004E7AE1">
        <w:t>/</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714351"/>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714352"/>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714353"/>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714354"/>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707AD5D8" w:rsidR="009A792F" w:rsidRDefault="009A792F" w:rsidP="009A792F">
      <w:pPr>
        <w:pStyle w:val="ListParagraph"/>
        <w:numPr>
          <w:ilvl w:val="0"/>
          <w:numId w:val="35"/>
        </w:numPr>
      </w:pPr>
      <w:r>
        <w:t xml:space="preserve">Master = </w:t>
      </w:r>
      <w:proofErr w:type="gramStart"/>
      <w:r>
        <w:t>Someone</w:t>
      </w:r>
      <w:proofErr w:type="gramEnd"/>
      <w:r>
        <w:t xml:space="preserve"> who’s mastered the art.</w:t>
      </w:r>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9" w:name="_Ref161902015"/>
      <w:bookmarkStart w:id="10" w:name="_Toc162714355"/>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714356"/>
      <w:r>
        <w:lastRenderedPageBreak/>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714357"/>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proofErr w:type="spellStart"/>
      <w:r w:rsidR="00136B81" w:rsidRPr="00136B81">
        <w:rPr>
          <w:i/>
        </w:rPr>
        <w:t>roll</w:t>
      </w:r>
      <w:r w:rsidR="00136B81">
        <w:t>play</w:t>
      </w:r>
      <w:proofErr w:type="spellEnd"/>
      <w:r w:rsidR="00136B81">
        <w:t xml:space="preserve">.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714358"/>
      <w:r>
        <w:t>What to Roll</w:t>
      </w:r>
      <w:bookmarkEnd w:id="13"/>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bookmarkStart w:id="14" w:name="_Toc162714360"/>
      <w:r>
        <w:t>Ruling Attribute</w:t>
      </w:r>
      <w:bookmarkEnd w:id="14"/>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w:t>
      </w:r>
      <w:proofErr w:type="gramStart"/>
      <w:r>
        <w:t>its</w:t>
      </w:r>
      <w:proofErr w:type="gramEnd"/>
      <w:r>
        <w:t xml:space="preserve">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7777777" w:rsidR="003F5162" w:rsidRDefault="007768B8" w:rsidP="00F222A2">
      <w:r>
        <w:t xml:space="preserve">If the task at hand is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then you can just roll an appropriate attribute without penalty.  </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3F5162">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3F5162">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Pr="00C05A64"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23335277" w14:textId="37B6DCB4" w:rsidR="003A4EB5" w:rsidRDefault="003A4EB5" w:rsidP="003A4EB5">
      <w:pPr>
        <w:pStyle w:val="Heading2"/>
      </w:pPr>
      <w:bookmarkStart w:id="15" w:name="_Ref161902174"/>
      <w:bookmarkStart w:id="16" w:name="_Toc162714359"/>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2714361"/>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1F74F92E" w:rsidR="000061AF" w:rsidRDefault="000061AF" w:rsidP="00D2601F">
      <w:r>
        <w:t xml:space="preserve">It is also possible for you to mess up royally.  If there are </w:t>
      </w:r>
      <w:r w:rsidRPr="00626704">
        <w:rPr>
          <w:i/>
        </w:rPr>
        <w:t>more</w:t>
      </w:r>
      <w:r>
        <w:t xml:space="preserve"> ‘1’s than there are </w:t>
      </w:r>
      <w:r w:rsidR="00321AEA" w:rsidRPr="00626704">
        <w:rPr>
          <w:i/>
        </w:rPr>
        <w:t>twice</w:t>
      </w:r>
      <w:r w:rsidR="00321AEA">
        <w:t xml:space="preserve"> the number of Hits,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15238746" w14:textId="77777777" w:rsidR="00321AEA" w:rsidRDefault="00321AEA" w:rsidP="00D2601F"/>
    <w:p w14:paraId="0F0937B6" w14:textId="6588278F" w:rsidR="00321AEA" w:rsidRPr="00321AEA" w:rsidRDefault="00321AEA" w:rsidP="00D2601F">
      <w:pPr>
        <w:rPr>
          <w:i/>
        </w:rPr>
      </w:pPr>
      <w:r w:rsidRPr="00321AEA">
        <w:rPr>
          <w:i/>
        </w:rPr>
        <w:t>Example:  Zach didn’t roll very well.  On 5 dice he got</w:t>
      </w:r>
      <w:r>
        <w:rPr>
          <w:i/>
        </w:rPr>
        <w:t>:</w:t>
      </w:r>
      <w:r w:rsidRPr="00321AEA">
        <w:rPr>
          <w:i/>
        </w:rPr>
        <w:t xml:space="preserve"> 7 1 </w:t>
      </w:r>
      <w:proofErr w:type="spellStart"/>
      <w:r w:rsidRPr="00321AEA">
        <w:rPr>
          <w:i/>
        </w:rPr>
        <w:t>1</w:t>
      </w:r>
      <w:proofErr w:type="spellEnd"/>
      <w:r w:rsidRPr="00321AEA">
        <w:rPr>
          <w:i/>
        </w:rPr>
        <w:t xml:space="preserve"> </w:t>
      </w:r>
      <w:proofErr w:type="spellStart"/>
      <w:r w:rsidRPr="00321AEA">
        <w:rPr>
          <w:i/>
        </w:rPr>
        <w:t>1</w:t>
      </w:r>
      <w:proofErr w:type="spellEnd"/>
      <w:r w:rsidRPr="00321AEA">
        <w:rPr>
          <w:i/>
        </w:rPr>
        <w:t xml:space="preserve"> 5.  That’s 1 hit and 3 ones.  3 </w:t>
      </w:r>
      <w:proofErr w:type="gramStart"/>
      <w:r w:rsidRPr="00321AEA">
        <w:rPr>
          <w:i/>
        </w:rPr>
        <w:t>is</w:t>
      </w:r>
      <w:proofErr w:type="gramEnd"/>
      <w:r w:rsidRPr="00321AEA">
        <w:rPr>
          <w:i/>
        </w:rPr>
        <w:t xml:space="preserve"> greater than twice the number of hits (2), so that’s a Total Failure.</w:t>
      </w:r>
    </w:p>
    <w:p w14:paraId="3E2F3602" w14:textId="77777777" w:rsidR="00321AEA" w:rsidRPr="00D2601F" w:rsidRDefault="00321AEA" w:rsidP="00D2601F"/>
    <w:p w14:paraId="0040F87B" w14:textId="5D1A5ABA" w:rsidR="00D2601F" w:rsidRDefault="00D5609A" w:rsidP="00D5609A">
      <w:pPr>
        <w:pStyle w:val="Heading2"/>
      </w:pPr>
      <w:bookmarkStart w:id="18" w:name="_Toc162714362"/>
      <w:r>
        <w:t>Opposed Rolls</w:t>
      </w:r>
      <w:bookmarkEnd w:id="18"/>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3368C7B6" w:rsidR="00C96A75" w:rsidRDefault="00C96A75" w:rsidP="00F01DD7">
            <w:r>
              <w:t>Complete 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714363"/>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714364"/>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714365"/>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3B54BE4B" w:rsidR="00EE3AFE" w:rsidRDefault="002E36FE" w:rsidP="002F5937">
      <w:pPr>
        <w:pStyle w:val="ListParagraph"/>
        <w:numPr>
          <w:ilvl w:val="0"/>
          <w:numId w:val="7"/>
        </w:numPr>
      </w:pPr>
      <w:r>
        <w:t xml:space="preserve">Attributes cost </w:t>
      </w:r>
      <w:r w:rsidR="002948AD">
        <w:t>2</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lastRenderedPageBreak/>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 xml:space="preserve">There is no list for Background Skills; they are </w:t>
      </w:r>
      <w:proofErr w:type="gramStart"/>
      <w:r>
        <w:t>free-form</w:t>
      </w:r>
      <w:proofErr w:type="gramEnd"/>
      <w:r>
        <w:t xml:space="preserve">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714366"/>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w:t>
      </w:r>
      <w:proofErr w:type="gramStart"/>
      <w:r>
        <w:t>are</w:t>
      </w:r>
      <w:proofErr w:type="gramEnd"/>
      <w:r>
        <w:t xml:space="preserv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714367"/>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2714368"/>
      <w:r>
        <w:lastRenderedPageBreak/>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2714369"/>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2714370"/>
      <w:r>
        <w:t>Combat</w:t>
      </w:r>
      <w:bookmarkEnd w:id="27"/>
      <w:bookmarkEnd w:id="28"/>
      <w:bookmarkEnd w:id="29"/>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B5500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B5500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2714371"/>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2714372"/>
      <w:r>
        <w:lastRenderedPageBreak/>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2714373"/>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lastRenderedPageBreak/>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B55008">
        <w:t>Stance</w:t>
      </w:r>
      <w:r>
        <w:fldChar w:fldCharType="end"/>
      </w:r>
      <w:r>
        <w:t xml:space="preserve">, page </w:t>
      </w:r>
      <w:r>
        <w:fldChar w:fldCharType="begin"/>
      </w:r>
      <w:r>
        <w:instrText xml:space="preserve"> PAGEREF _Ref162182373 \h </w:instrText>
      </w:r>
      <w:r>
        <w:fldChar w:fldCharType="separate"/>
      </w:r>
      <w:r w:rsidR="00B55008">
        <w:rPr>
          <w:noProof/>
        </w:rPr>
        <w:t>16</w:t>
      </w:r>
      <w:r>
        <w:fldChar w:fldCharType="end"/>
      </w:r>
      <w:r>
        <w:t>)</w:t>
      </w:r>
    </w:p>
    <w:p w14:paraId="2EB0A64C" w14:textId="2211B540" w:rsidR="00C53941" w:rsidRDefault="00EF5A89" w:rsidP="00EF5A89">
      <w:pPr>
        <w:pStyle w:val="Heading2"/>
      </w:pPr>
      <w:bookmarkStart w:id="34" w:name="_Toc162714374"/>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2714375"/>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B55008">
        <w:t>Attack Resolution</w:t>
      </w:r>
      <w:r>
        <w:fldChar w:fldCharType="end"/>
      </w:r>
      <w:r>
        <w:t xml:space="preserve">, page </w:t>
      </w:r>
      <w:r>
        <w:fldChar w:fldCharType="begin"/>
      </w:r>
      <w:r>
        <w:instrText xml:space="preserve"> PAGEREF _Ref162182495 \h </w:instrText>
      </w:r>
      <w:r>
        <w:fldChar w:fldCharType="separate"/>
      </w:r>
      <w:r w:rsidR="00B55008">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2714376"/>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2714377"/>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proofErr w:type="gramStart"/>
            <w:r w:rsidRPr="008103DB">
              <w:rPr>
                <w:b/>
              </w:rPr>
              <w:t>same</w:t>
            </w:r>
            <w:proofErr w:type="gramEnd"/>
            <w:r w:rsidRPr="008103DB">
              <w:rPr>
                <w:b/>
              </w:rPr>
              <w:t xml:space="preserv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2714378"/>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 xml:space="preserve">The better your attack roll, the </w:t>
      </w:r>
      <w:r w:rsidR="00BC31CD">
        <w:lastRenderedPageBreak/>
        <w:t>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2714379"/>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2714380"/>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w:t>
            </w:r>
            <w:proofErr w:type="gramStart"/>
            <w:r w:rsidRPr="00FF0E1B">
              <w:t>badly,</w:t>
            </w:r>
            <w:proofErr w:type="gramEnd"/>
            <w:r w:rsidRPr="00FF0E1B">
              <w:t xml:space="preserve">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w:t>
      </w:r>
      <w:proofErr w:type="spellStart"/>
      <w:r w:rsidRPr="00A17E17">
        <w:t>tazers</w:t>
      </w:r>
      <w:proofErr w:type="spellEnd"/>
      <w:r w:rsidRPr="00A17E17">
        <w:t xml:space="preserve">,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2714381"/>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total Wound Modifier is </w:t>
      </w:r>
      <w:r w:rsidR="00D0791F" w:rsidRPr="00D0791F">
        <w:rPr>
          <w:i/>
        </w:rPr>
        <w:t>1 or more</w:t>
      </w:r>
      <w:r w:rsidR="00D0791F">
        <w:t>,</w:t>
      </w:r>
      <w:r>
        <w:t xml:space="preserve"> you must make a Knockout Roll. </w:t>
      </w:r>
      <w:r w:rsidR="00B47A2C">
        <w:t xml:space="preserve"> This is a simple ability roll using your toughness ability, modified by your total Wound Modifier.  The Storyteller will designate which </w:t>
      </w:r>
      <w:bookmarkStart w:id="51" w:name="_GoBack"/>
      <w:bookmarkEnd w:id="51"/>
      <w:r w:rsidR="00B47A2C">
        <w:t>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C8687E" w:rsidRDefault="00C8687E">
      <w:r>
        <w:separator/>
      </w:r>
    </w:p>
  </w:endnote>
  <w:endnote w:type="continuationSeparator" w:id="0">
    <w:p w14:paraId="1A777634" w14:textId="77777777" w:rsidR="00C8687E" w:rsidRDefault="00C8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C8687E" w:rsidRDefault="00C8687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C8687E" w:rsidRDefault="00C8687E">
      <w:r>
        <w:separator/>
      </w:r>
    </w:p>
  </w:footnote>
  <w:footnote w:type="continuationSeparator" w:id="0">
    <w:p w14:paraId="43271929" w14:textId="77777777" w:rsidR="00C8687E" w:rsidRDefault="00C868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C8687E" w:rsidRDefault="00C8687E"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0791F">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0791F">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948AD"/>
    <w:rsid w:val="002A0AF0"/>
    <w:rsid w:val="002B16F4"/>
    <w:rsid w:val="002C63AD"/>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61CE"/>
    <w:rsid w:val="00547A43"/>
    <w:rsid w:val="00571279"/>
    <w:rsid w:val="005712E7"/>
    <w:rsid w:val="0058774E"/>
    <w:rsid w:val="005A0748"/>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69EF"/>
    <w:rsid w:val="007923F0"/>
    <w:rsid w:val="00796A38"/>
    <w:rsid w:val="007C1813"/>
    <w:rsid w:val="007C31A5"/>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5219C"/>
    <w:rsid w:val="00F646E0"/>
    <w:rsid w:val="00F65094"/>
    <w:rsid w:val="00F66DE0"/>
    <w:rsid w:val="00F70E08"/>
    <w:rsid w:val="00F769BC"/>
    <w:rsid w:val="00F81F34"/>
    <w:rsid w:val="00F840D5"/>
    <w:rsid w:val="00F9012E"/>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E2842-7639-4146-84C6-CFBD8098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4333</Words>
  <Characters>24700</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28976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27</cp:revision>
  <cp:lastPrinted>2011-03-28T06:12:00Z</cp:lastPrinted>
  <dcterms:created xsi:type="dcterms:W3CDTF">2011-03-28T06:12:00Z</dcterms:created>
  <dcterms:modified xsi:type="dcterms:W3CDTF">2011-03-29T21:54:00Z</dcterms:modified>
</cp:coreProperties>
</file>