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1E3A5F"/>
          <w:sz w:val="52"/>
          <w:szCs w:val="52"/>
        </w:rPr>
        <w:t xml:space="preserve">PRECISION MEDICINE MCP PLATFORM</w:t>
      </w:r>
    </w:p>
    <w:p>
      <w:pPr>
        <w:spacing w:after="160"/>
        <w:jc w:val="center"/>
      </w:pPr>
      <w:r>
        <w:rPr>
          <w:b/>
          <w:bCs/>
          <w:color w:val="2E6DA4"/>
          <w:sz w:val="36"/>
          <w:szCs w:val="36"/>
        </w:rPr>
        <w:t xml:space="preserve">Secure Agent Communication Design</w:t>
      </w:r>
    </w:p>
    <w:p>
      <w:pPr>
        <w:spacing w:after="80"/>
        <w:jc w:val="center"/>
      </w:pPr>
      <w:r>
        <w:rPr>
          <w:color w:val="5A5A5A"/>
          <w:sz w:val="24"/>
          <w:szCs w:val="24"/>
        </w:rPr>
        <w:t xml:space="preserve">Foundation Security Architecture  ·  A2A Wrapper  ·  Agent Skills  ·  Architecture Diagrams</w:t>
      </w:r>
    </w:p>
    <w:p>
      <w:r>
        <w:t xml:space="preserve"/>
      </w:r>
    </w:p>
    <w:p>
      <w:pPr>
        <w:jc w:val="center"/>
      </w:pPr>
      <w:r>
        <w:rPr>
          <w:color w:val="888888"/>
          <w:sz w:val="22"/>
          <w:szCs w:val="22"/>
        </w:rPr>
        <w:t xml:space="preserve">Version 1.2  |  February 2026</w:t>
      </w:r>
    </w:p>
    <w:p>
      <w:r>
        <w:t xml:space="preserve"/>
      </w:r>
    </w:p>
    <w:p>
      <w:r>
        <w:t xml:space="preserve"/>
      </w:r>
    </w:p>
    <w:p>
      <w:r>
        <w:t xml:space="preserve"/>
      </w:r>
    </w:p>
    <w:p>
      <w:pPr>
        <w:spacing w:after="160"/>
      </w:pPr>
      <w:r>
        <w:rPr>
          <w:bdr w:val="none"/>
        </w:rPr>
        <w:t xml:space="preserve"/>
      </w:r>
    </w:p>
    <w:p>
      <w:r>
        <w:t xml:space="preserve"/>
      </w:r>
    </w:p>
    <w:p>
      <w:pPr>
        <w:pStyle w:val="Heading1"/>
      </w:pPr>
      <w:r>
        <w:rPr>
          <w:b/>
          <w:bCs/>
          <w:color w:val="1E3A5F"/>
          <w:sz w:val="32"/>
          <w:szCs w:val="32"/>
        </w:rPr>
        <w:t xml:space="preserve">1. Executive Summary</w:t>
      </w:r>
    </w:p>
    <w:p>
      <w:pPr>
        <w:spacing w:after="120"/>
      </w:pPr>
      <w:r>
        <w:rPr>
          <w:sz w:val="22"/>
          <w:szCs w:val="22"/>
        </w:rPr>
        <w:t xml:space="preserve">The Precision Medicine MCP Platform exposes 15 bioinformatics servers and 80+ specialized tools covering multiomics, genomics, spatial transcriptomics, and clinical decision support. This architecture handles genomic sequences, patient phenotypes, drug interaction models, and ML inference pipelines — all data categories subject to HIPAA, GDPR, and emerging AI governance regulations.</w:t>
      </w:r>
    </w:p>
    <w:p>
      <w:r>
        <w:t xml:space="preserve"/>
      </w:r>
    </w:p>
    <w:p>
      <w:pPr>
        <w:spacing w:after="120"/>
      </w:pPr>
      <w:r>
        <w:rPr>
          <w:sz w:val="22"/>
          <w:szCs w:val="22"/>
        </w:rPr>
        <w:t xml:space="preserve">The core design decision is an A2A Security Wrapper that intercepts every tool invocation at the boundary of each MCP server, enforcing identity verification, ABAC authorization, input sanitization, and immutable audit logging. This document includes full architecture and event flow diagrams alongside the solution design and four reusable agent skill specifications.</w:t>
      </w:r>
    </w:p>
    <w:p>
      <w:r>
        <w:t xml:space="preserve"/>
      </w:r>
    </w:p>
    <w:p>
      <w:pPr>
        <w:pStyle w:val="Heading1"/>
      </w:pPr>
      <w:r>
        <w:rPr>
          <w:b/>
          <w:bCs/>
          <w:color w:val="1E3A5F"/>
          <w:sz w:val="32"/>
          <w:szCs w:val="32"/>
        </w:rPr>
        <w:t xml:space="preserve">2. Current Architecture Analysis</w:t>
      </w:r>
    </w:p>
    <w:p>
      <w:pPr>
        <w:pStyle w:val="Heading2"/>
      </w:pPr>
      <w:r>
        <w:rPr>
          <w:b/>
          <w:bCs/>
          <w:color w:val="2E6DA4"/>
          <w:sz w:val="26"/>
          <w:szCs w:val="26"/>
        </w:rPr>
        <w:t xml:space="preserve">2.1  Platform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Server Category</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Example Tools</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Sensitivity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Genomics / Variant Calling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VCF parsing, mutation annotation, CNV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 – PHI</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Multiomics Integration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TCGA access, expression correlation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Critical – PHI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Spatial Transcriptomics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Tissue mapping, cell deconvolution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Drug Target Analysis</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PDB lookups, binding affinity scoring</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Pathway / Ontology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enrichment, KEGG mapping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Clinical Decision Support</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Treatment scoring, phenotype matching</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Critical – PHI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Inference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prediction endpoints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Data Ingestion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FASTQ/BAM handling, format conversion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High</w:t>
            </w:r>
          </w:p>
        </w:tc>
      </w:tr>
    </w:tbl>
    <w:p>
      <w:r>
        <w:t xml:space="preserve"/>
      </w:r>
    </w:p>
    <w:p>
      <w:pPr>
        <w:pStyle w:val="Heading2"/>
      </w:pPr>
      <w:r>
        <w:rPr>
          <w:b/>
          <w:bCs/>
          <w:color w:val="2E6DA4"/>
          <w:sz w:val="26"/>
          <w:szCs w:val="26"/>
        </w:rPr>
        <w:t xml:space="preserve">2.2  Security Gaps</w:t>
      </w:r>
    </w:p>
    <w:p>
      <w:pPr>
        <w:pStyle w:val="ListParagraph"/>
        <w:numPr>
          <w:ilvl w:val="0"/>
          <w:numId w:val="2"/>
        </w:numPr>
        <w:spacing w:after="80"/>
      </w:pPr>
      <w:r>
        <w:rPr>
          <w:sz w:val="22"/>
          <w:szCs w:val="22"/>
        </w:rPr>
        <w:t xml:space="preserve">No caller identity verification — any process knowing the stdio/socket can invoke any tool</w:t>
      </w:r>
    </w:p>
    <w:p>
      <w:pPr>
        <w:pStyle w:val="ListParagraph"/>
        <w:numPr>
          <w:ilvl w:val="0"/>
          <w:numId w:val="2"/>
        </w:numPr>
        <w:spacing w:after="80"/>
      </w:pPr>
      <w:r>
        <w:rPr>
          <w:sz w:val="22"/>
          <w:szCs w:val="22"/>
        </w:rPr>
        <w:t xml:space="preserve">No inter-server authorization — Server A can call Server B with no credential exchange</w:t>
      </w:r>
    </w:p>
    <w:p>
      <w:pPr>
        <w:pStyle w:val="ListParagraph"/>
        <w:numPr>
          <w:ilvl w:val="0"/>
          <w:numId w:val="2"/>
        </w:numPr>
        <w:spacing w:after="80"/>
      </w:pPr>
      <w:r>
        <w:rPr>
          <w:sz w:val="22"/>
          <w:szCs w:val="22"/>
        </w:rPr>
        <w:t xml:space="preserve">Secrets stored in environment variables without rotation</w:t>
      </w:r>
    </w:p>
    <w:p>
      <w:pPr>
        <w:pStyle w:val="ListParagraph"/>
        <w:numPr>
          <w:ilvl w:val="0"/>
          <w:numId w:val="2"/>
        </w:numPr>
        <w:spacing w:after="80"/>
      </w:pPr>
      <w:r>
        <w:rPr>
          <w:sz w:val="22"/>
          <w:szCs w:val="22"/>
        </w:rPr>
        <w:t xml:space="preserve">No request signing — replay attacks and MITM possible on remote transports</w:t>
      </w:r>
    </w:p>
    <w:p>
      <w:pPr>
        <w:pStyle w:val="ListParagraph"/>
        <w:numPr>
          <w:ilvl w:val="0"/>
          <w:numId w:val="2"/>
        </w:numPr>
        <w:spacing w:after="80"/>
      </w:pPr>
      <w:r>
        <w:rPr>
          <w:sz w:val="22"/>
          <w:szCs w:val="22"/>
        </w:rPr>
        <w:t xml:space="preserve">No cross-server call-chain tracing for compliance audit</w:t>
      </w:r>
    </w:p>
    <w:p>
      <w:pPr>
        <w:pStyle w:val="ListParagraph"/>
        <w:numPr>
          <w:ilvl w:val="0"/>
          <w:numId w:val="2"/>
        </w:numPr>
        <w:spacing w:after="80"/>
      </w:pPr>
      <w:r>
        <w:rPr>
          <w:sz w:val="22"/>
          <w:szCs w:val="22"/>
        </w:rPr>
        <w:t xml:space="preserve">Prompt injection — LLM-generated tool arguments not sanitized before execution</w:t>
      </w:r>
    </w:p>
    <w:p>
      <w:pPr>
        <w:pStyle w:val="ListParagraph"/>
        <w:numPr>
          <w:ilvl w:val="0"/>
          <w:numId w:val="2"/>
        </w:numPr>
        <w:spacing w:after="80"/>
      </w:pPr>
      <w:r>
        <w:rPr>
          <w:sz w:val="22"/>
          <w:szCs w:val="22"/>
        </w:rPr>
        <w:t xml:space="preserve">No rate limiting or anomaly detection on tool invocation patterns</w:t>
      </w:r>
    </w:p>
    <w:p>
      <w:r>
        <w:t xml:space="preserve"/>
      </w:r>
    </w:p>
    <w:p>
      <w:pPr>
        <w:pStyle w:val="Heading2"/>
      </w:pPr>
      <w:r>
        <w:rPr>
          <w:b/>
          <w:bCs/>
          <w:color w:val="2E6DA4"/>
          <w:sz w:val="26"/>
          <w:szCs w:val="26"/>
        </w:rPr>
        <w:t xml:space="preserve">2.3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Threat Vector</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Attack Scenario</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Unauthenticated Tool Call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Rogue process calls genomic tools via stdio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PHI data exfiltration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Prompt Injection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Adversarial input hijacks tool arguments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Data manipulation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Impersonation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Sub-agent spoofs orchestrator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Privilege escalation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Replay Attack</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Captured request replayed for repeat data access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PHI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Lateral Movement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Compromised server calls others with no re-auth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platform compromise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Audit Gap</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Multi-hop calls leave incomplete audit trail</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Compliance failure</w:t>
            </w:r>
          </w:p>
        </w:tc>
      </w:tr>
    </w:tbl>
    <w:p>
      <w:r>
        <w:t xml:space="preserve"/>
      </w:r>
    </w:p>
    <w:p>
      <w:pPr>
        <w:pStyle w:val="Heading1"/>
      </w:pPr>
      <w:r>
        <w:rPr>
          <w:b/>
          <w:bCs/>
          <w:color w:val="1E3A5F"/>
          <w:sz w:val="32"/>
          <w:szCs w:val="32"/>
        </w:rPr>
        <w:t xml:space="preserve">3. Architecture Diagrams</w:t>
      </w:r>
    </w:p>
    <w:p>
      <w:pPr>
        <w:pStyle w:val="Heading2"/>
      </w:pPr>
      <w:r>
        <w:rPr>
          <w:b/>
          <w:bCs/>
          <w:color w:val="2E6DA4"/>
          <w:sz w:val="26"/>
          <w:szCs w:val="26"/>
        </w:rPr>
        <w:t xml:space="preserve">3.1  System Overview  (Mermaid flowchart)</w:t>
      </w:r>
    </w:p>
    <w:p>
      <w:pPr>
        <w:spacing w:after="120"/>
      </w:pPr>
      <w:r>
        <w:rPr>
          <w:sz w:val="22"/>
          <w:szCs w:val="22"/>
        </w:rPr>
        <w:t xml:space="preserve">The system overview shows all actors, the A2A Security Layer, the MCP server fleet, and the security infrastructure components and how they interconnect.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EBF3FB" w:val="clear"/>
            <w:tcMar>
              <w:top w:type="dxa" w:w="360"/>
              <w:left w:type="dxa" w:w="440"/>
              <w:bottom w:type="dxa" w:w="360"/>
              <w:right w:type="dxa" w:w="440"/>
            </w:tcMar>
          </w:tcPr>
          <w:p>
            <w:pPr>
              <w:spacing w:after="80"/>
              <w:jc w:val="center"/>
            </w:pPr>
            <w:r>
              <w:rPr>
                <w:b/>
                <w:bCs/>
                <w:color w:val="2E6DA4"/>
                <w:sz w:val="24"/>
                <w:szCs w:val="24"/>
              </w:rPr>
              <w:t xml:space="preserve">[ System overview ]</w:t>
            </w:r>
          </w:p>
          <w:p>
            <w:pPr>
              <w:spacing w:after="80"/>
              <w:jc w:val="center"/>
            </w:pPr>
            <w:r>
              <w:rPr>
                <w:i/>
                <w:iCs/>
                <w:color w:val="555555"/>
                <w:sz w:val="20"/>
                <w:szCs w:val="20"/>
              </w:rPr>
              <w:t xml:space="preserve">See separate file: 01_system_overview.png</w:t>
            </w:r>
          </w:p>
        </w:tc>
      </w:tr>
    </w:tbl>
    <w:p>
      <w:pPr>
        <w:spacing w:after="280" w:before="80"/>
        <w:jc w:val="center"/>
      </w:pPr>
      <w:r>
        <w:rPr>
          <w:i/>
          <w:iCs/>
          <w:color w:val="555555"/>
          <w:sz w:val="18"/>
          <w:szCs w:val="18"/>
        </w:rPr>
        <w:t xml:space="preserve">Figure 1 — System Overview: Actors, A2A Security Layer, MCP Server Fleet ×15, and Security Infrastructure</w:t>
      </w:r>
    </w:p>
    <w:p>
      <w:r>
        <w:t xml:space="preserve"/>
      </w:r>
    </w:p>
    <w:p>
      <w:pPr>
        <w:pStyle w:val="Heading2"/>
      </w:pPr>
      <w:r>
        <w:rPr>
          <w:b/>
          <w:bCs/>
          <w:color w:val="2E6DA4"/>
          <w:sz w:val="26"/>
          <w:szCs w:val="26"/>
        </w:rPr>
        <w:t xml:space="preserve">3.2  Component Architecture  (PlantUML)</w:t>
      </w:r>
    </w:p>
    <w:p>
      <w:pPr>
        <w:spacing w:after="120"/>
      </w:pPr>
      <w:r>
        <w:rPr>
          <w:sz w:val="22"/>
          <w:szCs w:val="22"/>
        </w:rPr>
        <w:t xml:space="preserve">The component diagram shows the four agent skill modules inside the A2A Security Layer, how they connect to shared security infrastructure (AIS, OPA, Redis, Vault, SIEM), and their relationships to the MCP server fleet.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EBF3FB" w:val="clear"/>
            <w:tcMar>
              <w:top w:type="dxa" w:w="360"/>
              <w:left w:type="dxa" w:w="440"/>
              <w:bottom w:type="dxa" w:w="360"/>
              <w:right w:type="dxa" w:w="440"/>
            </w:tcMar>
          </w:tcPr>
          <w:p>
            <w:pPr>
              <w:spacing w:after="80"/>
              <w:jc w:val="center"/>
            </w:pPr>
            <w:r>
              <w:rPr>
                <w:b/>
                <w:bCs/>
                <w:color w:val="2E6DA4"/>
                <w:sz w:val="24"/>
                <w:szCs w:val="24"/>
              </w:rPr>
              <w:t xml:space="preserve">[ Component arch ]</w:t>
            </w:r>
          </w:p>
          <w:p>
            <w:pPr>
              <w:spacing w:after="80"/>
              <w:jc w:val="center"/>
            </w:pPr>
            <w:r>
              <w:rPr>
                <w:i/>
                <w:iCs/>
                <w:color w:val="555555"/>
                <w:sz w:val="20"/>
                <w:szCs w:val="20"/>
              </w:rPr>
              <w:t xml:space="preserve">See separate file: 02_component_arch.png</w:t>
            </w:r>
          </w:p>
        </w:tc>
      </w:tr>
    </w:tbl>
    <w:p>
      <w:pPr>
        <w:spacing w:after="280" w:before="80"/>
        <w:jc w:val="center"/>
      </w:pPr>
      <w:r>
        <w:rPr>
          <w:i/>
          <w:iCs/>
          <w:color w:val="555555"/>
          <w:sz w:val="18"/>
          <w:szCs w:val="18"/>
        </w:rPr>
        <w:t xml:space="preserve">Figure 2 — Component Architecture: A2A Wrapper, Secure Tool Invoker, Token Manager, and Audit Emitter alongside Security Infrastructure and MCP Servers</w:t>
      </w:r>
    </w:p>
    <w:p>
      <w:r>
        <w:t xml:space="preserve"/>
      </w:r>
    </w:p>
    <w:p>
      <w:pPr>
        <w:pStyle w:val="Heading1"/>
      </w:pPr>
      <w:r>
        <w:rPr>
          <w:b/>
          <w:bCs/>
          <w:color w:val="1E3A5F"/>
          <w:sz w:val="32"/>
          <w:szCs w:val="32"/>
        </w:rPr>
        <w:t xml:space="preserve">4. Event Flow Diagrams</w:t>
      </w:r>
    </w:p>
    <w:p>
      <w:pPr>
        <w:pStyle w:val="Heading2"/>
      </w:pPr>
      <w:r>
        <w:rPr>
          <w:b/>
          <w:bCs/>
          <w:color w:val="2E6DA4"/>
          <w:sz w:val="26"/>
          <w:szCs w:val="26"/>
        </w:rPr>
        <w:t xml:space="preserve">4.1  Single-Server Tool Invocation  (Mermaid sequence)</w:t>
      </w:r>
    </w:p>
    <w:p>
      <w:pPr>
        <w:spacing w:after="120"/>
      </w:pPr>
      <w:r>
        <w:rPr>
          <w:sz w:val="22"/>
          <w:szCs w:val="22"/>
        </w:rPr>
        <w:t xml:space="preserve">The full lifecycle of a single secure tool call: token acquisition from AIS, JWT validation and replay prevention in Redis, ABAC evaluation by OPA, rate limiting, input sanitization, tool execution, and HMAC-signed audit emission to SIEM.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EBF3FB" w:val="clear"/>
            <w:tcMar>
              <w:top w:type="dxa" w:w="360"/>
              <w:left w:type="dxa" w:w="440"/>
              <w:bottom w:type="dxa" w:w="360"/>
              <w:right w:type="dxa" w:w="440"/>
            </w:tcMar>
          </w:tcPr>
          <w:p>
            <w:pPr>
              <w:spacing w:after="80"/>
              <w:jc w:val="center"/>
            </w:pPr>
            <w:r>
              <w:rPr>
                <w:b/>
                <w:bCs/>
                <w:color w:val="2E6DA4"/>
                <w:sz w:val="24"/>
                <w:szCs w:val="24"/>
              </w:rPr>
              <w:t xml:space="preserve">[ Single tool flow ]</w:t>
            </w:r>
          </w:p>
          <w:p>
            <w:pPr>
              <w:spacing w:after="80"/>
              <w:jc w:val="center"/>
            </w:pPr>
            <w:r>
              <w:rPr>
                <w:i/>
                <w:iCs/>
                <w:color w:val="555555"/>
                <w:sz w:val="20"/>
                <w:szCs w:val="20"/>
              </w:rPr>
              <w:t xml:space="preserve">See separate file: 03_single_tool_flow.png</w:t>
            </w:r>
          </w:p>
        </w:tc>
      </w:tr>
    </w:tbl>
    <w:p>
      <w:pPr>
        <w:spacing w:after="280" w:before="80"/>
        <w:jc w:val="center"/>
      </w:pPr>
      <w:r>
        <w:rPr>
          <w:i/>
          <w:iCs/>
          <w:color w:val="555555"/>
          <w:sz w:val="18"/>
          <w:szCs w:val="18"/>
        </w:rPr>
        <w:t xml:space="preserve">Figure 3 — Single-Server Tool Invocation: 20-step autonumbered sequence through A2A Wrapper</w:t>
      </w:r>
    </w:p>
    <w:p>
      <w:r>
        <w:t xml:space="preserve"/>
      </w:r>
    </w:p>
    <w:p>
      <w:pPr>
        <w:pStyle w:val="Heading2"/>
      </w:pPr>
      <w:r>
        <w:rPr>
          <w:b/>
          <w:bCs/>
          <w:color w:val="2E6DA4"/>
          <w:sz w:val="26"/>
          <w:szCs w:val="26"/>
        </w:rPr>
        <w:t xml:space="preserve">4.2  Cross-Server A2A Token Exchange  (PlantUML sequence)</w:t>
      </w:r>
    </w:p>
    <w:p>
      <w:pPr>
        <w:spacing w:after="120"/>
      </w:pPr>
      <w:r>
        <w:rPr>
          <w:sz w:val="22"/>
          <w:szCs w:val="22"/>
        </w:rPr>
        <w:t xml:space="preserve">When Server A calls a tool on Server B, it must exchange its JWT for a new constrained token via AIS rather than passing its credential through. Server B validates the new token entirely independently. Both sides emit audit records creating a bilateral trace chain required for HIPAA compliance.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EBF3FB" w:val="clear"/>
            <w:tcMar>
              <w:top w:type="dxa" w:w="360"/>
              <w:left w:type="dxa" w:w="440"/>
              <w:bottom w:type="dxa" w:w="360"/>
              <w:right w:type="dxa" w:w="440"/>
            </w:tcMar>
          </w:tcPr>
          <w:p>
            <w:pPr>
              <w:spacing w:after="80"/>
              <w:jc w:val="center"/>
            </w:pPr>
            <w:r>
              <w:rPr>
                <w:b/>
                <w:bCs/>
                <w:color w:val="2E6DA4"/>
                <w:sz w:val="24"/>
                <w:szCs w:val="24"/>
              </w:rPr>
              <w:t xml:space="preserve">[ Cross server flow ]</w:t>
            </w:r>
          </w:p>
          <w:p>
            <w:pPr>
              <w:spacing w:after="80"/>
              <w:jc w:val="center"/>
            </w:pPr>
            <w:r>
              <w:rPr>
                <w:i/>
                <w:iCs/>
                <w:color w:val="555555"/>
                <w:sz w:val="20"/>
                <w:szCs w:val="20"/>
              </w:rPr>
              <w:t xml:space="preserve">See separate file: 04_cross_server_flow.png</w:t>
            </w:r>
          </w:p>
        </w:tc>
      </w:tr>
    </w:tbl>
    <w:p>
      <w:pPr>
        <w:spacing w:after="280" w:before="80"/>
        <w:jc w:val="center"/>
      </w:pPr>
      <w:r>
        <w:rPr>
          <w:i/>
          <w:iCs/>
          <w:color w:val="555555"/>
          <w:sz w:val="18"/>
          <w:szCs w:val="18"/>
        </w:rPr>
        <w:t xml:space="preserve">Figure 4 — Cross-Server Token Exchange: Token exchange prevents lateral movement. Independent validation at each boundary. Bilateral audit trail.</w:t>
      </w:r>
    </w:p>
    <w:p>
      <w:r>
        <w:t xml:space="preserve"/>
      </w:r>
    </w:p>
    <w:p>
      <w:pPr>
        <w:pStyle w:val="Heading2"/>
      </w:pPr>
      <w:r>
        <w:rPr>
          <w:b/>
          <w:bCs/>
          <w:color w:val="2E6DA4"/>
          <w:sz w:val="26"/>
          <w:szCs w:val="26"/>
        </w:rPr>
        <w:t xml:space="preserve">4.3  Token Lifecycle &amp; Decision Flow  (Mermaid flowchart)</w:t>
      </w:r>
    </w:p>
    <w:p>
      <w:pPr>
        <w:spacing w:after="120"/>
      </w:pPr>
      <w:r>
        <w:rPr>
          <w:sz w:val="22"/>
          <w:szCs w:val="22"/>
        </w:rPr>
        <w:t xml:space="preserve">Complete token lifecycle from agent startup through the A2A Wrapper decision tree. All six rejection paths (invalid signature, expired, replay, OPA deny, rate limit, bad input) are shown in red with their audit event types. The background refresh loop and emergency revocation paths are also shown.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EBF3FB" w:val="clear"/>
            <w:tcMar>
              <w:top w:type="dxa" w:w="360"/>
              <w:left w:type="dxa" w:w="440"/>
              <w:bottom w:type="dxa" w:w="360"/>
              <w:right w:type="dxa" w:w="440"/>
            </w:tcMar>
          </w:tcPr>
          <w:p>
            <w:pPr>
              <w:spacing w:after="80"/>
              <w:jc w:val="center"/>
            </w:pPr>
            <w:r>
              <w:rPr>
                <w:b/>
                <w:bCs/>
                <w:color w:val="2E6DA4"/>
                <w:sz w:val="24"/>
                <w:szCs w:val="24"/>
              </w:rPr>
              <w:t xml:space="preserve">[ Token lifecycle ]</w:t>
            </w:r>
          </w:p>
          <w:p>
            <w:pPr>
              <w:spacing w:after="80"/>
              <w:jc w:val="center"/>
            </w:pPr>
            <w:r>
              <w:rPr>
                <w:i/>
                <w:iCs/>
                <w:color w:val="555555"/>
                <w:sz w:val="20"/>
                <w:szCs w:val="20"/>
              </w:rPr>
              <w:t xml:space="preserve">See separate file: 05_token_lifecycle.png</w:t>
            </w:r>
          </w:p>
        </w:tc>
      </w:tr>
    </w:tbl>
    <w:p>
      <w:pPr>
        <w:spacing w:after="280" w:before="80"/>
        <w:jc w:val="center"/>
      </w:pPr>
      <w:r>
        <w:rPr>
          <w:i/>
          <w:iCs/>
          <w:color w:val="555555"/>
          <w:sz w:val="18"/>
          <w:szCs w:val="18"/>
        </w:rPr>
        <w:t xml:space="preserve">Figure 5 — Token Lifecycle and A2A Wrapper Decision Tree. Red = reject + audit event. Green = success path.</w:t>
      </w:r>
    </w:p>
    <w:p>
      <w:r>
        <w:t xml:space="preserve"/>
      </w:r>
    </w:p>
    <w:p>
      <w:pPr>
        <w:pStyle w:val="Heading1"/>
      </w:pPr>
      <w:r>
        <w:rPr>
          <w:b/>
          <w:bCs/>
          <w:color w:val="1E3A5F"/>
          <w:sz w:val="32"/>
          <w:szCs w:val="32"/>
        </w:rPr>
        <w:t xml:space="preserve">5. High-Level Solution Design</w:t>
      </w:r>
    </w:p>
    <w:p>
      <w:pPr>
        <w:pStyle w:val="Heading2"/>
      </w:pPr>
      <w:r>
        <w:rPr>
          <w:b/>
          <w:bCs/>
          <w:color w:val="2E6DA4"/>
          <w:sz w:val="26"/>
          <w:szCs w:val="26"/>
        </w:rPr>
        <w:t xml:space="preserve">5.1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Approach</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 TLS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mTLS between client and server, no application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Insufficient — no per-tool auth, no audit chain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OAuth at Host only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Host authenticates once; all servers trust the host token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Partial — no agent-to-agent or sub-agent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A2A Wrapper (Selected)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Middleware intercepts every tool call: identity + authz + audit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 end-to-end, granular, auditable, composable</w:t>
            </w:r>
          </w:p>
        </w:tc>
      </w:tr>
    </w:tbl>
    <w:p>
      <w:r>
        <w:t xml:space="preserve"/>
      </w:r>
    </w:p>
    <w:p>
      <w:pPr>
        <w:pStyle w:val="Heading2"/>
      </w:pPr>
      <w:r>
        <w:rPr>
          <w:b/>
          <w:bCs/>
          <w:color w:val="2E6DA4"/>
          <w:sz w:val="26"/>
          <w:szCs w:val="26"/>
        </w:rPr>
        <w:t xml:space="preserve">5.2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Component</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Responsibility</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Identity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Issues short-lived JWTs; token exchange endpoint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OIDC / OAuth 2.0, Vault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A2A Wrapper Middleware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Intercepts calls; validates JWT, ABAC, sanitizes, audits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Python / FastMCP hook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OPA Policy Engine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ABAC: agent_role + tool + data_class → permit / deny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Policy Agent (Rego)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Secret Manager</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Dynamic credentials; no long-lived secrets in code or env</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HashiCorp Vault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Emitter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HMAC-signed structured events per tool invocation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OpenTelemetry + SIEM</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Rate Limiter</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Per-agent tool call budgets (token bucket)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Redis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Sanitizer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Validates LLM-generated args against JSON Schema + allow-lists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Schema + regex</w:t>
            </w:r>
          </w:p>
        </w:tc>
      </w:tr>
    </w:tbl>
    <w:p>
      <w:r>
        <w:t xml:space="preserve"/>
      </w:r>
    </w:p>
    <w:p>
      <w:pPr>
        <w:pStyle w:val="Heading2"/>
      </w:pPr>
      <w:r>
        <w:rPr>
          <w:b/>
          <w:bCs/>
          <w:color w:val="2E6DA4"/>
          <w:sz w:val="26"/>
          <w:szCs w:val="26"/>
        </w:rPr>
        <w:t xml:space="preserve">5.3  JWT Token Structure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"sub":  "agent:genomics-orchestrator-v2",</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"iss":  "https://ais.precision-medicine.internal",</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"aud":  ["genomics-server", "multiomics-server"],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"exp":  1740000000,        // 15 min (human) / 5 min (agent)</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"jti":  "a1b2c3d4-nonce",  // replay prevention</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"scope": ["tool:run_variant_calling", "tool:fetch_expression_data"],</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"sensitivity_clearance": "phi_authorized",</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"trace_id": "trace-0xDEADBEEF",</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"parent_agent": "agent:session-user-abc"</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t>
      </w:r>
    </w:p>
    <w:p>
      <w:r>
        <w:t xml:space="preserve"/>
      </w:r>
    </w:p>
    <w:p>
      <w:pPr>
        <w:pStyle w:val="Heading2"/>
      </w:pPr>
      <w:r>
        <w:rPr>
          <w:b/>
          <w:bCs/>
          <w:color w:val="2E6DA4"/>
          <w:sz w:val="26"/>
          <w:szCs w:val="26"/>
        </w:rPr>
        <w:t xml:space="preserve">5.4  ABAC Policy (OPA Rego)</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package precision_medicine.authz</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default allow = false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allow {   # PHI tools require clearance + scope match</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input.tool_name in data.phi_tools</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input.agent.sensitivity_clearance == "phi_authorized"</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input.tool_name in input.agent.scope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allow {   # Non-PHI tools require scope only</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not input.tool_name in data.phi_tools</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input.tool_name in input.agent.scope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allow_cross_server { input.target_server in input.agent.aud; allow }</w:t>
      </w:r>
    </w:p>
    <w:p>
      <w:r>
        <w:t xml:space="preserve"/>
      </w:r>
    </w:p>
    <w:p>
      <w:pPr>
        <w:pStyle w:val="Heading1"/>
      </w:pPr>
      <w:r>
        <w:rPr>
          <w:b/>
          <w:bCs/>
          <w:color w:val="1E3A5F"/>
          <w:sz w:val="32"/>
          <w:szCs w:val="32"/>
        </w:rPr>
        <w:t xml:space="preserve">6. Agent Skill Specifications</w:t>
      </w:r>
    </w:p>
    <w:p>
      <w:pPr>
        <w:pStyle w:val="Heading2"/>
      </w:pPr>
      <w:r>
        <w:rPr>
          <w:b/>
          <w:bCs/>
          <w:color w:val="2E6DA4"/>
          <w:sz w:val="26"/>
          <w:szCs w:val="26"/>
        </w:rPr>
        <w:t xml:space="preserve">Skill 1 — a2a_wrapper_middleware</w:t>
      </w:r>
    </w:p>
    <w:p>
      <w:pPr>
        <w:spacing w:after="120"/>
      </w:pPr>
      <w:r>
        <w:rPr>
          <w:sz w:val="22"/>
          <w:szCs w:val="22"/>
        </w:rPr>
        <w:t xml:space="preserve">Drop-in FastMCP decorator enforcing the full 10-step security lifecycle. Zero changes to tool logic; add 3 lines per server.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wrapper = A2AWrapper("genomics-server", opa, validator, limiter)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@mcp.tool()</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@wrapper.secure_tool("run_variant_calling", data_class="phi")</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async def run_variant_calling(ctx, vcf_path: str, reference: str):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  # tool logic untouched</w:t>
      </w:r>
    </w:p>
    <w:p>
      <w:r>
        <w:t xml:space="preserve"/>
      </w:r>
    </w:p>
    <w:p>
      <w:pPr>
        <w:pStyle w:val="Heading2"/>
      </w:pPr>
      <w:r>
        <w:rPr>
          <w:b/>
          <w:bCs/>
          <w:color w:val="2E6DA4"/>
          <w:sz w:val="26"/>
          <w:szCs w:val="26"/>
        </w:rPr>
        <w:t xml:space="preserve">Skill 2 — secure_tool_invoker</w:t>
      </w:r>
    </w:p>
    <w:p>
      <w:pPr>
        <w:spacing w:after="120"/>
      </w:pPr>
      <w:r>
        <w:rPr>
          <w:sz w:val="22"/>
          <w:szCs w:val="22"/>
        </w:rPr>
        <w:t xml:space="preserve">Handles outbound A2A calls: exchanges token for a target-scoped JWT, propagates trace ID, emits bilateral audit events.</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async def invoke(self, target_server, tool_name, args, trace_id=None):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delegated = await self.ais.exchange_token(</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source_token=self.current_token,</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target_server=target_server,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required_scope=[f"tool:{tool_name}"], ttl_seconds=300)</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headers = {"Authorization": f"Bearer {delegated}",</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"X-Trace-ID": trace_id, "X-Caller-Agent": sub}</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resp = await client.post(f"https://{target_server}.internal/...", ...)</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await emit_audit_event(event_type="cross_server_tool_call", ...)</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return resp.json()</w:t>
      </w:r>
    </w:p>
    <w:p>
      <w:r>
        <w:t xml:space="preserve"/>
      </w:r>
    </w:p>
    <w:p>
      <w:pPr>
        <w:pStyle w:val="Heading2"/>
      </w:pPr>
      <w:r>
        <w:rPr>
          <w:b/>
          <w:bCs/>
          <w:color w:val="2E6DA4"/>
          <w:sz w:val="26"/>
          <w:szCs w:val="26"/>
        </w:rPr>
        <w:t xml:space="preserve">Skill 3 — agent_token_manager</w:t>
      </w:r>
    </w:p>
    <w:p>
      <w:pPr>
        <w:spacing w:after="120"/>
      </w:pPr>
      <w:r>
        <w:rPr>
          <w:sz w:val="22"/>
          <w:szCs w:val="22"/>
        </w:rPr>
        <w:t xml:space="preserve">Full JWT lifecycle: acquire, cache, proactive refresh 60s before expiry, and emergency revocation on shutdown or compromise signal.</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async def get_token(self, server: str) -&gt; str: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entry = self._tokens.get(server)</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if not entry or time.time() &gt; entry["exp"] - 60:</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await self._acquire(server, entry.get("scopes", []))</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return self._tokens[server]["token"]</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async def revoke_all(self):</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for server, entry in self._tokens.items():</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await self.ais.revoke(entry["token"])</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self._tokens.clear()</w:t>
      </w:r>
    </w:p>
    <w:p>
      <w:r>
        <w:t xml:space="preserve"/>
      </w:r>
    </w:p>
    <w:p>
      <w:pPr>
        <w:pStyle w:val="Heading2"/>
      </w:pPr>
      <w:r>
        <w:rPr>
          <w:b/>
          <w:bCs/>
          <w:color w:val="2E6DA4"/>
          <w:sz w:val="26"/>
          <w:szCs w:val="26"/>
        </w:rPr>
        <w:t xml:space="preserve">Skill 4 — audit_trail_emitter</w:t>
      </w:r>
    </w:p>
    <w:p>
      <w:pPr>
        <w:spacing w:after="120"/>
      </w:pPr>
      <w:r>
        <w:rPr>
          <w:sz w:val="22"/>
          <w:szCs w:val="22"/>
        </w:rPr>
        <w:t xml:space="preserve">HMAC-signed OTEL-compatible audit events for every security action. Signing key fetched from Vault. Satisfies HIPAA audit control requirements.</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async def emit(self, event_type, agent, tool, status, trace_id, **extra):</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event = { "event_id": str(uuid.uuid4()), "timestamp_utc": ...,</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"server": self.server_name, "event_type": event_type,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"agent_id": agent, "tool_name": tool,</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"status": status, "trace_id": trace_id, **extra }</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canonical = json.dumps(event, sort_keys=True).encode()</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event["signature"] = hmac.new(self.signing_key, canonical, sha256).hexdigest()</w:t>
      </w:r>
    </w:p>
    <w:p>
      <w:pPr>
        <w:pBdr>
          <w:left w:val="single" w:color="2E6DA4" w:sz="14" w:space="4"/>
        </w:pBdr>
        <w:shd w:fill="F4F4F4" w:val="clear"/>
        <w:spacing w:after="60" w:before="60"/>
        <w:ind w:left="360"/>
      </w:pPr>
      <w:r>
        <w:rPr>
          <w:rFonts w:ascii="Courier New" w:cs="Courier New" w:eastAsia="Courier New" w:hAnsi="Courier New"/>
          <w:color w:val="1A1A1A"/>
          <w:sz w:val="18"/>
          <w:szCs w:val="18"/>
        </w:rPr>
        <w:t xml:space="preserve">    await self.exporter.send(event)</w:t>
      </w:r>
    </w:p>
    <w:p>
      <w:r>
        <w:t xml:space="preserve"/>
      </w:r>
    </w:p>
    <w:p>
      <w:pPr>
        <w:pStyle w:val="Heading1"/>
      </w:pPr>
      <w:r>
        <w:rPr>
          <w:b/>
          <w:bCs/>
          <w:color w:val="1E3A5F"/>
          <w:sz w:val="32"/>
          <w:szCs w:val="32"/>
        </w:rPr>
        <w:t xml:space="preserve">7. Implementation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13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Phase</w:t>
            </w:r>
          </w:p>
        </w:tc>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Work Items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Duration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Foundation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AIS, A2A Wrapper, JWT validation on all servers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weeks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Phase 2: Authorization</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OPA integration, ABAC policies per server/tool, PHI tagging</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weeks</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3: Secrets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Vault integration, remove env-var secrets, dynamic rotation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weeks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Phase 4: Audit</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OTEL pipeline, HMAC signing, SIEM, cross-server trace IDs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 weeks</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5: Hardening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sanitization, rate limiting, anomaly detection, pen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weeks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Phase 6: Agent Skills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Deploy all 4 skills, integration tests, compliance docs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week</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Medium</w:t>
            </w:r>
          </w:p>
        </w:tc>
      </w:tr>
    </w:tbl>
    <w:p>
      <w:r>
        <w:t xml:space="preserve"/>
      </w:r>
    </w:p>
    <w:p>
      <w:pPr>
        <w:pStyle w:val="Heading1"/>
      </w:pPr>
      <w:r>
        <w:rPr>
          <w:b/>
          <w:bCs/>
          <w:color w:val="1E3A5F"/>
          <w:sz w:val="32"/>
          <w:szCs w:val="32"/>
        </w:rPr>
        <w:t xml:space="preserve">8.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Regulation</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How Design Satisfies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HIPAA § 164.312(a)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user identification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sub claim uniquely identifies every caller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HIPAA § 164.312(b)</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Audit controls</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Signed OTEL events per tool call; full cross-server trace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HIPAA § 164.312(c)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Integrity controls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HMAC-signed events; input sanitization; Vault secrets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HIPAA § 164.312(d)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Authentication</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JWT + OPA authorization at every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GDPR Art.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protection by 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Trust defaults; PHI class enforced in ABAC</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SOC 2 Type II</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Availability + security</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Rate limiting, audit logs, mTLS, secret rotation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NIST AI RMF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transparency / govern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agent action attributed, authorized, audited</w:t>
            </w:r>
          </w:p>
        </w:tc>
      </w:tr>
    </w:tbl>
    <w:p>
      <w:r>
        <w:t xml:space="preserve"/>
      </w:r>
    </w:p>
    <w:p>
      <w:pPr>
        <w:pStyle w:val="Heading1"/>
      </w:pPr>
      <w:r>
        <w:rPr>
          <w:b/>
          <w:bCs/>
          <w:color w:val="1E3A5F"/>
          <w:sz w:val="32"/>
          <w:szCs w:val="32"/>
        </w:rPr>
        <w:t xml:space="preserve">9.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Decision</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Choice</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Protocol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 OIDC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 TTL, audience scoping, sub-agent derivation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Authorization Model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ABAC via OPA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Fine-grained; agent + tool + data_class; policy-as-code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Exchange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AIS-mediated (not pass-through)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Prevents lateral movement; independent validation per server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Audit Integrity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HMAC-signed OTEL events</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Tamper-evident; satisfies HIPAA audit control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Vault dynamic secrets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long-lived credentials anywhere in the system</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Wrapper Integration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Decorator pattern</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Zero changes to tool logic; additive; easy rollout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Policy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Rego (OPA)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Declarative, testable, auditable; separate from application code</w:t>
            </w:r>
          </w:p>
        </w:tc>
      </w:tr>
    </w:tbl>
    <w:p>
      <w:r>
        <w:t xml:space="preserve"/>
      </w:r>
    </w:p>
    <w:p>
      <w:r>
        <w:t xml:space="preserve"/>
      </w:r>
    </w:p>
    <w:p>
      <w:r>
        <w:rPr>
          <w:i/>
          <w:iCs/>
          <w:color w:val="888888"/>
          <w:sz w:val="20"/>
          <w:szCs w:val="20"/>
        </w:rPr>
        <w:t xml:space="preserve">End of Document — v1.2 with Architecture and Event Flow Diagrams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2026-02-21T10:32:20.097Z</dcterms:created>
  <dcterms:modified xsi:type="dcterms:W3CDTF">2026-02-21T10:32:20.098Z</dcterms:modified>
</cp:coreProperties>
</file>

<file path=docProps/custom.xml><?xml version="1.0" encoding="utf-8"?>
<Properties xmlns="http://schemas.openxmlformats.org/officeDocument/2006/custom-properties" xmlns:vt="http://schemas.openxmlformats.org/officeDocument/2006/docPropsVTypes"/>
</file>