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05075" w:rsidRDefault="00773422" w:rsidP="00773422">
      <w:pPr>
        <w:spacing w:after="240"/>
      </w:pPr>
      <w:r>
        <w:t xml:space="preserve">Need can be defined as the state of being in </w:t>
      </w:r>
      <w:proofErr w:type="spellStart"/>
      <w:r>
        <w:t>want.As</w:t>
      </w:r>
      <w:proofErr w:type="spellEnd"/>
      <w:r>
        <w:t xml:space="preserve"> a noun it something that is </w:t>
      </w:r>
      <w:proofErr w:type="spellStart"/>
      <w:r>
        <w:t>lacking.A</w:t>
      </w:r>
      <w:proofErr w:type="spellEnd"/>
      <w:r>
        <w:t xml:space="preserve"> community is a group sharing a common understanding and often the same </w:t>
      </w:r>
      <w:proofErr w:type="spellStart"/>
      <w:r>
        <w:t>language,manners,traditionand</w:t>
      </w:r>
      <w:proofErr w:type="spellEnd"/>
      <w:r>
        <w:t xml:space="preserve"> </w:t>
      </w:r>
      <w:proofErr w:type="spellStart"/>
      <w:r>
        <w:t>law.The</w:t>
      </w:r>
      <w:proofErr w:type="spellEnd"/>
      <w:r>
        <w:t xml:space="preserve"> life of man is in such a way that we require something for daily </w:t>
      </w:r>
      <w:proofErr w:type="spellStart"/>
      <w:r>
        <w:t>endeavours.This</w:t>
      </w:r>
      <w:proofErr w:type="spellEnd"/>
      <w:r>
        <w:t xml:space="preserve"> gives rise to need which range from the very crucial </w:t>
      </w:r>
      <w:proofErr w:type="spellStart"/>
      <w:r>
        <w:t>ones,universally</w:t>
      </w:r>
      <w:proofErr w:type="spellEnd"/>
      <w:r>
        <w:t xml:space="preserve"> known as basic </w:t>
      </w:r>
      <w:proofErr w:type="spellStart"/>
      <w:r>
        <w:t>needs,to</w:t>
      </w:r>
      <w:proofErr w:type="spellEnd"/>
      <w:r>
        <w:t xml:space="preserve"> some that are not really crucial but still </w:t>
      </w:r>
      <w:proofErr w:type="spellStart"/>
      <w:r>
        <w:t>relavant</w:t>
      </w:r>
      <w:proofErr w:type="spellEnd"/>
      <w:r>
        <w:t xml:space="preserve"> in different </w:t>
      </w:r>
      <w:proofErr w:type="spellStart"/>
      <w:r>
        <w:t>aspects.Some</w:t>
      </w:r>
      <w:proofErr w:type="spellEnd"/>
      <w:r>
        <w:t xml:space="preserve"> needs come as a result of man</w:t>
      </w:r>
      <w:r w:rsidR="00305075">
        <w:t xml:space="preserve"> activities</w:t>
      </w:r>
      <w:r>
        <w:t xml:space="preserve"> while others </w:t>
      </w:r>
      <w:r w:rsidR="00305075">
        <w:t xml:space="preserve">are as a result of </w:t>
      </w:r>
      <w:proofErr w:type="spellStart"/>
      <w:r w:rsidR="00305075">
        <w:t>nature.All</w:t>
      </w:r>
      <w:proofErr w:type="spellEnd"/>
      <w:r w:rsidR="00305075">
        <w:t xml:space="preserve"> these needs must be accomplished and extensions needed to better some solutions to the various needs.</w:t>
      </w:r>
    </w:p>
    <w:p w:rsidR="00305075" w:rsidRDefault="00305075" w:rsidP="00773422">
      <w:pPr>
        <w:spacing w:after="240"/>
      </w:pPr>
      <w:r>
        <w:t xml:space="preserve">Different communities have different </w:t>
      </w:r>
      <w:proofErr w:type="spellStart"/>
      <w:r>
        <w:t>needs.The</w:t>
      </w:r>
      <w:proofErr w:type="spellEnd"/>
      <w:r>
        <w:t xml:space="preserve"> different needs have also different </w:t>
      </w:r>
      <w:proofErr w:type="spellStart"/>
      <w:r>
        <w:t>solutions.Several</w:t>
      </w:r>
      <w:proofErr w:type="spellEnd"/>
      <w:r>
        <w:t xml:space="preserve"> solutions have been found for the needs with some of the solutions being permanent and other not </w:t>
      </w:r>
      <w:proofErr w:type="spellStart"/>
      <w:r>
        <w:t>permanent.However,some</w:t>
      </w:r>
      <w:proofErr w:type="spellEnd"/>
      <w:r>
        <w:t xml:space="preserve"> community needs remain unsolved.</w:t>
      </w:r>
    </w:p>
    <w:p w:rsidR="00D6572A" w:rsidRDefault="00305075" w:rsidP="00773422">
      <w:pPr>
        <w:spacing w:after="240"/>
      </w:pPr>
      <w:r>
        <w:t xml:space="preserve"> </w:t>
      </w:r>
      <w:r w:rsidRPr="00305075">
        <w:br/>
        <w:t>The Sahara desert is home to some living organisms. There are approximately 70 animals that live in the Sahara desert. Some of these animals are the scorpion, the lizard, the rat and the obvious one a ca</w:t>
      </w:r>
      <w:r w:rsidR="00D6572A">
        <w:t xml:space="preserve">mel. </w:t>
      </w:r>
      <w:proofErr w:type="gramStart"/>
      <w:r w:rsidR="00D6572A">
        <w:t>Consequently</w:t>
      </w:r>
      <w:proofErr w:type="gramEnd"/>
      <w:r w:rsidR="00D6572A">
        <w:t xml:space="preserve"> humans also live on these harsh  </w:t>
      </w:r>
      <w:proofErr w:type="spellStart"/>
      <w:r w:rsidR="00D6572A">
        <w:t>lands.</w:t>
      </w:r>
      <w:r w:rsidR="00D6572A" w:rsidRPr="00D6572A">
        <w:t>There</w:t>
      </w:r>
      <w:proofErr w:type="spellEnd"/>
      <w:r w:rsidR="00D6572A" w:rsidRPr="00D6572A">
        <w:t xml:space="preserve"> are 2 tribes that are known to the Sahara desert and their names are Tuareg tribe and Bedouin tribe</w:t>
      </w:r>
      <w:r w:rsidR="00D6572A">
        <w:t>.</w:t>
      </w:r>
    </w:p>
    <w:p w:rsidR="008A6391" w:rsidRDefault="00D6572A" w:rsidP="00773422">
      <w:pPr>
        <w:spacing w:after="240"/>
      </w:pPr>
      <w:r>
        <w:t xml:space="preserve">There are very many </w:t>
      </w:r>
      <w:proofErr w:type="spellStart"/>
      <w:r>
        <w:t>many</w:t>
      </w:r>
      <w:proofErr w:type="spellEnd"/>
      <w:r>
        <w:t xml:space="preserve"> needs faced by these two desert communities ranging from health to </w:t>
      </w:r>
      <w:proofErr w:type="spellStart"/>
      <w:r>
        <w:t>physchological</w:t>
      </w:r>
      <w:proofErr w:type="spellEnd"/>
      <w:r>
        <w:t xml:space="preserve"> needs.</w:t>
      </w:r>
      <w:r w:rsidRPr="00D6572A">
        <w:rPr>
          <w:rFonts w:ascii="Arial" w:hAnsi="Arial" w:cs="Arial"/>
          <w:color w:val="111111"/>
          <w:sz w:val="27"/>
          <w:szCs w:val="27"/>
          <w:shd w:val="clear" w:color="auto" w:fill="FFFFFF"/>
        </w:rPr>
        <w:t xml:space="preserve"> </w:t>
      </w:r>
      <w:r w:rsidRPr="00D6572A">
        <w:t>In short, the main </w:t>
      </w:r>
      <w:r w:rsidRPr="00D6572A">
        <w:rPr>
          <w:b/>
          <w:bCs/>
        </w:rPr>
        <w:t>problems</w:t>
      </w:r>
      <w:r w:rsidRPr="00D6572A">
        <w:t> of the </w:t>
      </w:r>
      <w:r w:rsidRPr="00D6572A">
        <w:rPr>
          <w:b/>
          <w:bCs/>
        </w:rPr>
        <w:t>tribals</w:t>
      </w:r>
      <w:r w:rsidRPr="00D6572A">
        <w:t> are </w:t>
      </w:r>
      <w:r w:rsidRPr="00D6572A">
        <w:rPr>
          <w:b/>
          <w:bCs/>
        </w:rPr>
        <w:t>poverty</w:t>
      </w:r>
      <w:r w:rsidRPr="00D6572A">
        <w:t>, indebtedness, illiteracy, bondage, exploitation, disease and unemployment</w:t>
      </w:r>
      <w:r>
        <w:t>.</w:t>
      </w:r>
    </w:p>
    <w:p w:rsidR="008A6391" w:rsidRDefault="008A6391" w:rsidP="00773422">
      <w:pPr>
        <w:spacing w:after="240"/>
      </w:pPr>
    </w:p>
    <w:p w:rsidR="00201159" w:rsidRDefault="00D6572A" w:rsidP="00201159">
      <w:pPr>
        <w:spacing w:after="240"/>
        <w:jc w:val="both"/>
        <w:rPr>
          <w:sz w:val="24"/>
          <w:szCs w:val="24"/>
        </w:rPr>
      </w:pPr>
      <w:r>
        <w:t xml:space="preserve">We are going to highlight the Tuareg tribe and how to deal with the need for literacy amongst </w:t>
      </w:r>
      <w:proofErr w:type="spellStart"/>
      <w:r>
        <w:t>them.</w:t>
      </w:r>
      <w:r w:rsidR="008A6391">
        <w:t>Illiteracy</w:t>
      </w:r>
      <w:proofErr w:type="spellEnd"/>
      <w:r w:rsidR="008A6391">
        <w:t xml:space="preserve"> is </w:t>
      </w:r>
      <w:r w:rsidR="008A6391" w:rsidRPr="008A6391">
        <w:t xml:space="preserve">the inability to read or </w:t>
      </w:r>
      <w:proofErr w:type="spellStart"/>
      <w:r w:rsidR="008A6391" w:rsidRPr="008A6391">
        <w:t>write.</w:t>
      </w:r>
      <w:r w:rsidR="008A6391">
        <w:t>It</w:t>
      </w:r>
      <w:proofErr w:type="spellEnd"/>
      <w:r w:rsidR="008A6391">
        <w:t xml:space="preserve"> can also be defined as </w:t>
      </w:r>
      <w:r w:rsidR="008A6391" w:rsidRPr="008A6391">
        <w:t xml:space="preserve">lack of knowledge in a particular subject; </w:t>
      </w:r>
      <w:proofErr w:type="spellStart"/>
      <w:r w:rsidR="008A6391" w:rsidRPr="008A6391">
        <w:t>ignorance.</w:t>
      </w:r>
      <w:r w:rsidR="008A6391">
        <w:rPr>
          <w:sz w:val="24"/>
        </w:rPr>
        <w:t>Illiteracy</w:t>
      </w:r>
      <w:proofErr w:type="spellEnd"/>
      <w:r w:rsidR="008A6391">
        <w:rPr>
          <w:sz w:val="24"/>
        </w:rPr>
        <w:t xml:space="preserve"> can be eliminated via different modes of extension as discussed below.</w:t>
      </w:r>
      <w:r w:rsidR="00201159">
        <w:rPr>
          <w:sz w:val="24"/>
          <w:szCs w:val="24"/>
        </w:rPr>
        <w:t xml:space="preserve"> </w:t>
      </w:r>
    </w:p>
    <w:p w:rsidR="00201159" w:rsidRDefault="00201159" w:rsidP="00201159">
      <w:pPr>
        <w:spacing w:after="240"/>
        <w:jc w:val="both"/>
        <w:rPr>
          <w:sz w:val="24"/>
          <w:szCs w:val="24"/>
        </w:rPr>
      </w:pPr>
    </w:p>
    <w:p w:rsidR="00201159" w:rsidRDefault="00201159" w:rsidP="00201159">
      <w:pPr>
        <w:spacing w:after="240"/>
        <w:jc w:val="both"/>
        <w:rPr>
          <w:sz w:val="24"/>
          <w:szCs w:val="24"/>
        </w:rPr>
      </w:pPr>
    </w:p>
    <w:p w:rsidR="00201159" w:rsidRDefault="00201159" w:rsidP="00201159">
      <w:pPr>
        <w:spacing w:after="240"/>
        <w:jc w:val="both"/>
        <w:rPr>
          <w:sz w:val="24"/>
          <w:szCs w:val="24"/>
        </w:rPr>
      </w:pPr>
    </w:p>
    <w:p w:rsidR="00201159" w:rsidRDefault="00201159" w:rsidP="00201159">
      <w:pPr>
        <w:spacing w:after="240"/>
        <w:jc w:val="both"/>
        <w:rPr>
          <w:sz w:val="24"/>
          <w:szCs w:val="24"/>
        </w:rPr>
      </w:pPr>
    </w:p>
    <w:p w:rsidR="00201159" w:rsidRDefault="00201159" w:rsidP="00201159">
      <w:pPr>
        <w:spacing w:after="240"/>
        <w:jc w:val="both"/>
        <w:rPr>
          <w:sz w:val="24"/>
          <w:szCs w:val="24"/>
        </w:rPr>
      </w:pPr>
    </w:p>
    <w:p w:rsidR="00201159" w:rsidRDefault="00201159" w:rsidP="00201159">
      <w:pPr>
        <w:spacing w:after="240"/>
        <w:jc w:val="both"/>
        <w:rPr>
          <w:sz w:val="24"/>
          <w:szCs w:val="24"/>
        </w:rPr>
      </w:pPr>
      <w:r>
        <w:rPr>
          <w:sz w:val="24"/>
          <w:szCs w:val="24"/>
        </w:rPr>
        <w:lastRenderedPageBreak/>
        <w:t xml:space="preserve"> </w:t>
      </w:r>
      <w:hyperlink r:id="rId6" w:tooltip="Community Engagement" w:history="1">
        <w:r w:rsidRPr="00201159">
          <w:rPr>
            <w:rStyle w:val="Hyperlink"/>
            <w:b/>
            <w:bCs/>
            <w:sz w:val="24"/>
            <w:szCs w:val="24"/>
          </w:rPr>
          <w:t>Community Engagement</w:t>
        </w:r>
      </w:hyperlink>
      <w:r w:rsidRPr="00201159">
        <w:rPr>
          <w:sz w:val="24"/>
          <w:szCs w:val="24"/>
        </w:rPr>
        <w:t>; focuses on relationships at the core of facilitating "understanding and evaluation, involvement, exchange of information and opinions, about a concept, issue or project, with the aim of building social capital and enhancing social outcomes through decision-making” </w:t>
      </w:r>
      <w:r>
        <w:rPr>
          <w:sz w:val="24"/>
          <w:szCs w:val="24"/>
        </w:rPr>
        <w:t xml:space="preserve">   </w:t>
      </w:r>
    </w:p>
    <w:p w:rsidR="00201159" w:rsidRDefault="00201159" w:rsidP="00201159">
      <w:pPr>
        <w:spacing w:after="240"/>
        <w:jc w:val="both"/>
        <w:rPr>
          <w:sz w:val="24"/>
          <w:szCs w:val="24"/>
        </w:rPr>
      </w:pPr>
      <w:r>
        <w:rPr>
          <w:sz w:val="24"/>
          <w:szCs w:val="24"/>
        </w:rPr>
        <w:t xml:space="preserve">  </w:t>
      </w:r>
      <w:hyperlink r:id="rId7" w:tooltip="Large Group Capacitation" w:history="1">
        <w:r w:rsidRPr="00201159">
          <w:rPr>
            <w:rStyle w:val="Hyperlink"/>
            <w:b/>
            <w:bCs/>
            <w:sz w:val="24"/>
            <w:szCs w:val="24"/>
          </w:rPr>
          <w:t>Large Group Capacitation</w:t>
        </w:r>
      </w:hyperlink>
      <w:r w:rsidRPr="00201159">
        <w:rPr>
          <w:sz w:val="24"/>
          <w:szCs w:val="24"/>
        </w:rPr>
        <w:t>; an adult education and social psychology approach grounded in the activity of the individual and the social psychology of the large group focusing on large groups of unemployed or semi-employed participants, many of whom with Lower Levels of Literacy (LLLs).</w:t>
      </w:r>
    </w:p>
    <w:p w:rsidR="00657236" w:rsidRDefault="00201159" w:rsidP="00657236">
      <w:pPr>
        <w:spacing w:after="240"/>
        <w:jc w:val="both"/>
        <w:rPr>
          <w:sz w:val="24"/>
          <w:szCs w:val="24"/>
        </w:rPr>
      </w:pPr>
      <w:r w:rsidRPr="00201159">
        <w:rPr>
          <w:b/>
          <w:bCs/>
          <w:sz w:val="24"/>
          <w:szCs w:val="24"/>
        </w:rPr>
        <w:t>Community </w:t>
      </w:r>
      <w:hyperlink r:id="rId8" w:tooltip="Capacity building" w:history="1">
        <w:r w:rsidRPr="00201159">
          <w:rPr>
            <w:rStyle w:val="Hyperlink"/>
            <w:b/>
            <w:bCs/>
            <w:sz w:val="24"/>
            <w:szCs w:val="24"/>
          </w:rPr>
          <w:t>capacity building</w:t>
        </w:r>
      </w:hyperlink>
      <w:r w:rsidRPr="00201159">
        <w:rPr>
          <w:sz w:val="24"/>
          <w:szCs w:val="24"/>
        </w:rPr>
        <w:t>; focusing on helping communities obtain, strengthen, and maintain the ability to set and achieve their own development objectives.</w:t>
      </w:r>
      <w:r w:rsidR="00657236" w:rsidRPr="00657236">
        <w:rPr>
          <w:rFonts w:ascii="Arial" w:eastAsia="Times New Roman" w:hAnsi="Arial" w:cs="Arial"/>
          <w:b/>
          <w:bCs/>
          <w:color w:val="202122"/>
        </w:rPr>
        <w:t xml:space="preserve"> </w:t>
      </w:r>
      <w:hyperlink r:id="rId9" w:tooltip="Direct Action" w:history="1">
        <w:r w:rsidR="00657236" w:rsidRPr="00657236">
          <w:rPr>
            <w:rStyle w:val="Hyperlink"/>
            <w:b/>
            <w:bCs/>
            <w:sz w:val="24"/>
            <w:szCs w:val="24"/>
          </w:rPr>
          <w:t>Nonviolent direct action</w:t>
        </w:r>
      </w:hyperlink>
      <w:r w:rsidR="00657236" w:rsidRPr="00657236">
        <w:rPr>
          <w:sz w:val="24"/>
          <w:szCs w:val="24"/>
        </w:rPr>
        <w:t>; when a group of people take action to reveal an existing problem, highlight an alternative, or demonstrate a possible solution to a social issue which is not being addressed through traditional societal institutions (governments, religious organizations or established trade unions) to the satisfaction of the direct action participants.</w:t>
      </w:r>
    </w:p>
    <w:p w:rsidR="00657236" w:rsidRDefault="00000000" w:rsidP="00657236">
      <w:pPr>
        <w:spacing w:after="240"/>
        <w:jc w:val="both"/>
        <w:rPr>
          <w:sz w:val="24"/>
          <w:szCs w:val="24"/>
        </w:rPr>
      </w:pPr>
      <w:hyperlink r:id="rId10" w:tooltip="Community economic development" w:history="1">
        <w:r w:rsidR="00657236" w:rsidRPr="00657236">
          <w:rPr>
            <w:rStyle w:val="Hyperlink"/>
            <w:b/>
            <w:bCs/>
            <w:sz w:val="24"/>
            <w:szCs w:val="24"/>
          </w:rPr>
          <w:t>Community economic development</w:t>
        </w:r>
      </w:hyperlink>
      <w:r w:rsidR="00657236" w:rsidRPr="00657236">
        <w:rPr>
          <w:sz w:val="24"/>
          <w:szCs w:val="24"/>
        </w:rPr>
        <w:t> (CED); an alternative to conventional </w:t>
      </w:r>
      <w:hyperlink r:id="rId11" w:tooltip="Economic development" w:history="1">
        <w:r w:rsidR="00657236" w:rsidRPr="00657236">
          <w:rPr>
            <w:rStyle w:val="Hyperlink"/>
            <w:sz w:val="24"/>
            <w:szCs w:val="24"/>
          </w:rPr>
          <w:t>economic development</w:t>
        </w:r>
      </w:hyperlink>
      <w:r w:rsidR="00657236" w:rsidRPr="00657236">
        <w:rPr>
          <w:sz w:val="24"/>
          <w:szCs w:val="24"/>
        </w:rPr>
        <w:t> which encourages using local resources in a way that enhances economi</w:t>
      </w:r>
      <w:r w:rsidR="00657236">
        <w:rPr>
          <w:sz w:val="24"/>
          <w:szCs w:val="24"/>
        </w:rPr>
        <w:t xml:space="preserve">c outcomes while improving social </w:t>
      </w:r>
      <w:r w:rsidR="00657236" w:rsidRPr="00657236">
        <w:rPr>
          <w:sz w:val="24"/>
          <w:szCs w:val="24"/>
        </w:rPr>
        <w:t xml:space="preserve">conditions. For example, CED involves strategies which aim to improve access to affordable </w:t>
      </w:r>
      <w:r w:rsidR="00657236">
        <w:rPr>
          <w:sz w:val="24"/>
          <w:szCs w:val="24"/>
        </w:rPr>
        <w:t>housing, medical, and education sustainability.</w:t>
      </w:r>
    </w:p>
    <w:p w:rsidR="00657236" w:rsidRDefault="00000000" w:rsidP="00657236">
      <w:pPr>
        <w:spacing w:after="240"/>
        <w:jc w:val="both"/>
        <w:rPr>
          <w:sz w:val="24"/>
          <w:szCs w:val="24"/>
        </w:rPr>
      </w:pPr>
      <w:hyperlink r:id="rId12" w:tooltip="Community-based participatory research" w:history="1">
        <w:r w:rsidR="00657236" w:rsidRPr="00657236">
          <w:rPr>
            <w:rStyle w:val="Hyperlink"/>
            <w:b/>
            <w:bCs/>
            <w:sz w:val="24"/>
            <w:szCs w:val="24"/>
          </w:rPr>
          <w:t>Community-based participatory research</w:t>
        </w:r>
      </w:hyperlink>
      <w:r w:rsidR="00657236" w:rsidRPr="00657236">
        <w:rPr>
          <w:sz w:val="24"/>
          <w:szCs w:val="24"/>
        </w:rPr>
        <w:t> (CBPR); a partnership approach to </w:t>
      </w:r>
      <w:hyperlink r:id="rId13" w:tooltip="Research" w:history="1">
        <w:r w:rsidR="00657236" w:rsidRPr="00657236">
          <w:rPr>
            <w:rStyle w:val="Hyperlink"/>
            <w:sz w:val="24"/>
            <w:szCs w:val="24"/>
          </w:rPr>
          <w:t>research</w:t>
        </w:r>
      </w:hyperlink>
      <w:r w:rsidR="00657236" w:rsidRPr="00657236">
        <w:rPr>
          <w:sz w:val="24"/>
          <w:szCs w:val="24"/>
        </w:rPr>
        <w:t> that equitably involves, for example, </w:t>
      </w:r>
      <w:hyperlink r:id="rId14" w:tooltip="Community" w:history="1">
        <w:r w:rsidR="00657236" w:rsidRPr="00657236">
          <w:rPr>
            <w:rStyle w:val="Hyperlink"/>
            <w:sz w:val="24"/>
            <w:szCs w:val="24"/>
          </w:rPr>
          <w:t>community</w:t>
        </w:r>
      </w:hyperlink>
      <w:r w:rsidR="00657236" w:rsidRPr="00657236">
        <w:rPr>
          <w:sz w:val="24"/>
          <w:szCs w:val="24"/>
        </w:rPr>
        <w:t> members, organizational representatives, and researchers in all aspects of the research process and in which all partners contribute expertise and share decision making and ownership, which aims to integrate this knowledge with community development outcomes.</w:t>
      </w:r>
    </w:p>
    <w:p w:rsidR="00657236" w:rsidRDefault="00000000" w:rsidP="00657236">
      <w:pPr>
        <w:spacing w:after="240"/>
        <w:jc w:val="both"/>
        <w:rPr>
          <w:sz w:val="24"/>
          <w:szCs w:val="24"/>
        </w:rPr>
      </w:pPr>
      <w:hyperlink r:id="rId15" w:tooltip="Participatory planning" w:history="1">
        <w:r w:rsidR="00657236" w:rsidRPr="00657236">
          <w:rPr>
            <w:rStyle w:val="Hyperlink"/>
            <w:b/>
            <w:bCs/>
            <w:sz w:val="24"/>
            <w:szCs w:val="24"/>
          </w:rPr>
          <w:t>Participatory planning</w:t>
        </w:r>
      </w:hyperlink>
      <w:r w:rsidR="00657236" w:rsidRPr="00657236">
        <w:rPr>
          <w:sz w:val="24"/>
          <w:szCs w:val="24"/>
        </w:rPr>
        <w:t> including community-based planning (CBP); involving the entire community in the strategic and management processes</w:t>
      </w:r>
    </w:p>
    <w:p w:rsidR="00657236" w:rsidRDefault="00657236" w:rsidP="00657236">
      <w:pPr>
        <w:spacing w:after="240"/>
        <w:jc w:val="both"/>
        <w:rPr>
          <w:sz w:val="24"/>
          <w:szCs w:val="24"/>
        </w:rPr>
      </w:pPr>
    </w:p>
    <w:p w:rsidR="00657236" w:rsidRDefault="00000000" w:rsidP="00657236">
      <w:pPr>
        <w:spacing w:after="240"/>
        <w:jc w:val="both"/>
        <w:rPr>
          <w:sz w:val="24"/>
          <w:szCs w:val="24"/>
        </w:rPr>
      </w:pPr>
      <w:hyperlink r:id="rId16" w:tooltip="Economic development" w:history="1">
        <w:r w:rsidR="00657236" w:rsidRPr="00657236">
          <w:rPr>
            <w:rStyle w:val="Hyperlink"/>
            <w:b/>
            <w:bCs/>
            <w:sz w:val="24"/>
            <w:szCs w:val="24"/>
          </w:rPr>
          <w:t>Economic development</w:t>
        </w:r>
      </w:hyperlink>
      <w:r w:rsidR="00657236" w:rsidRPr="00657236">
        <w:rPr>
          <w:sz w:val="24"/>
          <w:szCs w:val="24"/>
        </w:rPr>
        <w:t>, focusing on the "development" of </w:t>
      </w:r>
      <w:hyperlink r:id="rId17" w:tooltip="Developing countries" w:history="1">
        <w:r w:rsidR="00657236" w:rsidRPr="00657236">
          <w:rPr>
            <w:rStyle w:val="Hyperlink"/>
            <w:sz w:val="24"/>
            <w:szCs w:val="24"/>
          </w:rPr>
          <w:t>developing countries</w:t>
        </w:r>
      </w:hyperlink>
      <w:r w:rsidR="00657236" w:rsidRPr="00657236">
        <w:rPr>
          <w:sz w:val="24"/>
          <w:szCs w:val="24"/>
        </w:rPr>
        <w:t> as measured by their economies, although it includes the processes and policies by which a nation improves the economic, political, and social well-being of its people.</w:t>
      </w:r>
    </w:p>
    <w:p w:rsidR="004E4271" w:rsidRDefault="00000000" w:rsidP="004E4271">
      <w:pPr>
        <w:spacing w:after="240"/>
        <w:jc w:val="both"/>
        <w:rPr>
          <w:sz w:val="24"/>
          <w:szCs w:val="24"/>
        </w:rPr>
      </w:pPr>
      <w:hyperlink r:id="rId18" w:tooltip="Social capital" w:history="1">
        <w:r w:rsidR="004E4271" w:rsidRPr="004E4271">
          <w:rPr>
            <w:rStyle w:val="Hyperlink"/>
            <w:b/>
            <w:bCs/>
            <w:sz w:val="24"/>
            <w:szCs w:val="24"/>
          </w:rPr>
          <w:t>Social capital</w:t>
        </w:r>
      </w:hyperlink>
      <w:r w:rsidR="004E4271" w:rsidRPr="004E4271">
        <w:rPr>
          <w:b/>
          <w:bCs/>
          <w:sz w:val="24"/>
          <w:szCs w:val="24"/>
        </w:rPr>
        <w:t> formation</w:t>
      </w:r>
      <w:r w:rsidR="004E4271" w:rsidRPr="004E4271">
        <w:rPr>
          <w:sz w:val="24"/>
          <w:szCs w:val="24"/>
        </w:rPr>
        <w:t>; focusing on benefits derived from the cooperation between individuals and groups.</w:t>
      </w:r>
    </w:p>
    <w:p w:rsidR="004E4271" w:rsidRDefault="004E4271" w:rsidP="004E4271">
      <w:pPr>
        <w:spacing w:after="240"/>
        <w:jc w:val="both"/>
        <w:rPr>
          <w:sz w:val="24"/>
          <w:szCs w:val="24"/>
        </w:rPr>
      </w:pPr>
      <w:r w:rsidRPr="004E4271">
        <w:rPr>
          <w:sz w:val="24"/>
          <w:szCs w:val="24"/>
        </w:rPr>
        <w:t>Developing adult literacy programs tied to job or income generation opportunities and the completion of relevant daily tasks.</w:t>
      </w:r>
    </w:p>
    <w:p w:rsidR="004E4271" w:rsidRDefault="004E4271" w:rsidP="004E4271">
      <w:pPr>
        <w:spacing w:after="240"/>
        <w:jc w:val="both"/>
        <w:rPr>
          <w:sz w:val="24"/>
          <w:szCs w:val="24"/>
        </w:rPr>
      </w:pPr>
      <w:r w:rsidRPr="004E4271">
        <w:rPr>
          <w:sz w:val="24"/>
          <w:szCs w:val="24"/>
        </w:rPr>
        <w:t xml:space="preserve"> Running awareness and advocacy campaigns to overcome negative attitudes associated with illiteracy </w:t>
      </w:r>
      <w:proofErr w:type="spellStart"/>
      <w:r w:rsidRPr="004E4271">
        <w:rPr>
          <w:sz w:val="24"/>
          <w:szCs w:val="24"/>
        </w:rPr>
        <w:t>eg.</w:t>
      </w:r>
      <w:proofErr w:type="spellEnd"/>
      <w:r w:rsidRPr="004E4271">
        <w:rPr>
          <w:sz w:val="24"/>
          <w:szCs w:val="24"/>
        </w:rPr>
        <w:t xml:space="preserve"> shame at being illiterate or low priority placed on education.</w:t>
      </w:r>
    </w:p>
    <w:p w:rsidR="004E4271" w:rsidRPr="004E4271" w:rsidRDefault="004E4271" w:rsidP="004E4271">
      <w:pPr>
        <w:spacing w:after="240"/>
        <w:jc w:val="both"/>
        <w:rPr>
          <w:sz w:val="24"/>
          <w:szCs w:val="24"/>
        </w:rPr>
      </w:pPr>
      <w:r w:rsidRPr="004E4271">
        <w:rPr>
          <w:sz w:val="24"/>
          <w:szCs w:val="24"/>
        </w:rPr>
        <w:t> Use incentives attractive to children and parents to overcome negative attitudes towards education. This could include incorporating a vocational component to schooling that would improve household income prospects.</w:t>
      </w:r>
    </w:p>
    <w:p w:rsidR="004E4271" w:rsidRDefault="004E4271" w:rsidP="004E4271">
      <w:pPr>
        <w:spacing w:after="240"/>
        <w:jc w:val="both"/>
        <w:rPr>
          <w:sz w:val="24"/>
          <w:szCs w:val="24"/>
        </w:rPr>
      </w:pPr>
      <w:r w:rsidRPr="004E4271">
        <w:rPr>
          <w:sz w:val="24"/>
          <w:szCs w:val="24"/>
        </w:rPr>
        <w:t>Running advocacy and targeted programs to encourage gender parity in schools in developing and emerging countries. This includes developing ways to combat negative attitudes towards girls’ education and release school age girls from expected home duties and caring for other family members. </w:t>
      </w:r>
    </w:p>
    <w:p w:rsidR="004E4271" w:rsidRDefault="004E4271" w:rsidP="004E4271">
      <w:pPr>
        <w:spacing w:after="240"/>
        <w:jc w:val="both"/>
        <w:rPr>
          <w:sz w:val="24"/>
          <w:szCs w:val="24"/>
        </w:rPr>
      </w:pPr>
      <w:r w:rsidRPr="004E4271">
        <w:rPr>
          <w:sz w:val="24"/>
          <w:szCs w:val="24"/>
        </w:rPr>
        <w:t>Ensure literacy schooling and training includes access to and the ability to use and own computers. In today’s technology-connected world, true literacy includes being able to use a word processor to read and write.</w:t>
      </w:r>
    </w:p>
    <w:p w:rsidR="004E4271" w:rsidRDefault="004E4271" w:rsidP="004E4271">
      <w:pPr>
        <w:spacing w:after="240"/>
        <w:jc w:val="both"/>
        <w:rPr>
          <w:sz w:val="24"/>
          <w:szCs w:val="24"/>
        </w:rPr>
      </w:pPr>
      <w:r w:rsidRPr="004E4271">
        <w:rPr>
          <w:sz w:val="24"/>
          <w:szCs w:val="24"/>
        </w:rPr>
        <w:t> Develop tutoring, remedial and reading for fun programs for slow learners to help them keep up with their peers and overcome lack of engagement in reading.</w:t>
      </w:r>
    </w:p>
    <w:p w:rsidR="004E4271" w:rsidRDefault="004E4271" w:rsidP="004E4271">
      <w:pPr>
        <w:spacing w:after="240"/>
        <w:jc w:val="both"/>
        <w:rPr>
          <w:sz w:val="24"/>
          <w:szCs w:val="24"/>
        </w:rPr>
      </w:pPr>
      <w:r w:rsidRPr="004E4271">
        <w:rPr>
          <w:sz w:val="24"/>
          <w:szCs w:val="24"/>
        </w:rPr>
        <w:t xml:space="preserve"> Creating a central body that can accept and manage financial resources for international literacy initiatives. Such an entity would liaise with and act on behalf of governments, non-profit </w:t>
      </w:r>
      <w:proofErr w:type="spellStart"/>
      <w:r w:rsidRPr="004E4271">
        <w:rPr>
          <w:sz w:val="24"/>
          <w:szCs w:val="24"/>
        </w:rPr>
        <w:t>organisations</w:t>
      </w:r>
      <w:proofErr w:type="spellEnd"/>
      <w:r w:rsidRPr="004E4271">
        <w:rPr>
          <w:sz w:val="24"/>
          <w:szCs w:val="24"/>
        </w:rPr>
        <w:t>, the private sector and the philanthropic community.</w:t>
      </w:r>
    </w:p>
    <w:p w:rsidR="004E4271" w:rsidRPr="004E4271" w:rsidRDefault="004E4271" w:rsidP="004E4271">
      <w:pPr>
        <w:spacing w:after="240"/>
        <w:jc w:val="both"/>
        <w:rPr>
          <w:sz w:val="24"/>
          <w:szCs w:val="24"/>
        </w:rPr>
      </w:pPr>
      <w:r w:rsidRPr="004E4271">
        <w:rPr>
          <w:sz w:val="24"/>
          <w:szCs w:val="24"/>
        </w:rPr>
        <w:t>Getting governments to pledge additional funding to combat illiteracy within their own nations and to commit to supporting illiterates in developing countries.</w:t>
      </w:r>
    </w:p>
    <w:p w:rsidR="004E4271" w:rsidRPr="004E4271" w:rsidRDefault="004E4271" w:rsidP="004E4271">
      <w:pPr>
        <w:spacing w:after="240"/>
        <w:jc w:val="both"/>
        <w:rPr>
          <w:sz w:val="24"/>
          <w:szCs w:val="24"/>
        </w:rPr>
      </w:pPr>
      <w:r w:rsidRPr="004E4271">
        <w:rPr>
          <w:sz w:val="24"/>
          <w:szCs w:val="24"/>
        </w:rPr>
        <w:lastRenderedPageBreak/>
        <w:t> Mounting a worldwide fundraising effort to raise awareness, empathy and donations from individual charitable giving to wipe out illiteracy.</w:t>
      </w:r>
    </w:p>
    <w:p w:rsidR="00657236" w:rsidRDefault="00657236" w:rsidP="00657236">
      <w:pPr>
        <w:spacing w:after="240"/>
        <w:jc w:val="both"/>
        <w:rPr>
          <w:sz w:val="24"/>
          <w:szCs w:val="24"/>
        </w:rPr>
      </w:pPr>
    </w:p>
    <w:p w:rsidR="004E4271" w:rsidRDefault="004E4271" w:rsidP="00657236">
      <w:pPr>
        <w:spacing w:after="240"/>
        <w:jc w:val="both"/>
        <w:rPr>
          <w:sz w:val="24"/>
          <w:szCs w:val="24"/>
        </w:rPr>
      </w:pPr>
      <w:r>
        <w:rPr>
          <w:sz w:val="24"/>
          <w:szCs w:val="24"/>
        </w:rPr>
        <w:t>REFERENCES:</w:t>
      </w:r>
    </w:p>
    <w:tbl>
      <w:tblPr>
        <w:tblW w:w="0" w:type="auto"/>
        <w:tblBorders>
          <w:top w:val="outset" w:sz="6" w:space="0" w:color="888888"/>
          <w:left w:val="outset" w:sz="6" w:space="0" w:color="888888"/>
          <w:bottom w:val="outset" w:sz="6" w:space="0" w:color="888888"/>
          <w:right w:val="outset" w:sz="6" w:space="0" w:color="888888"/>
        </w:tblBorders>
        <w:shd w:val="clear" w:color="auto" w:fill="FFFFFF"/>
        <w:tblCellMar>
          <w:top w:w="15" w:type="dxa"/>
          <w:left w:w="15" w:type="dxa"/>
          <w:bottom w:w="15" w:type="dxa"/>
          <w:right w:w="15" w:type="dxa"/>
        </w:tblCellMar>
        <w:tblLook w:val="04A0" w:firstRow="1" w:lastRow="0" w:firstColumn="1" w:lastColumn="0" w:noHBand="0" w:noVBand="1"/>
      </w:tblPr>
      <w:tblGrid>
        <w:gridCol w:w="5010"/>
      </w:tblGrid>
      <w:tr w:rsidR="004E4271" w:rsidTr="00EF0F1D">
        <w:trPr>
          <w:trHeight w:val="50"/>
        </w:trPr>
        <w:tc>
          <w:tcPr>
            <w:tcW w:w="5010" w:type="dxa"/>
            <w:tcBorders>
              <w:top w:val="outset" w:sz="6" w:space="0" w:color="auto"/>
              <w:left w:val="outset" w:sz="6" w:space="0" w:color="auto"/>
              <w:bottom w:val="outset" w:sz="6" w:space="0" w:color="auto"/>
              <w:right w:val="outset" w:sz="6" w:space="0" w:color="auto"/>
            </w:tcBorders>
            <w:shd w:val="clear" w:color="auto" w:fill="FFFFFF"/>
            <w:hideMark/>
          </w:tcPr>
          <w:p w:rsidR="004E4271" w:rsidRDefault="004E4271">
            <w:pPr>
              <w:rPr>
                <w:rFonts w:ascii="Open Sans" w:hAnsi="Open Sans"/>
                <w:color w:val="616161"/>
              </w:rPr>
            </w:pPr>
          </w:p>
        </w:tc>
      </w:tr>
    </w:tbl>
    <w:p w:rsidR="004E4271" w:rsidRDefault="004E4271" w:rsidP="00657236">
      <w:pPr>
        <w:spacing w:after="240"/>
        <w:jc w:val="both"/>
        <w:rPr>
          <w:sz w:val="24"/>
          <w:szCs w:val="24"/>
        </w:rPr>
      </w:pPr>
    </w:p>
    <w:p w:rsidR="00657236" w:rsidRDefault="00EF0F1D" w:rsidP="00657236">
      <w:pPr>
        <w:spacing w:after="240"/>
        <w:jc w:val="both"/>
        <w:rPr>
          <w:sz w:val="24"/>
          <w:szCs w:val="24"/>
        </w:rPr>
      </w:pPr>
      <w:r>
        <w:rPr>
          <w:sz w:val="24"/>
          <w:szCs w:val="24"/>
        </w:rPr>
        <w:t>1.</w:t>
      </w:r>
      <w:hyperlink r:id="rId19" w:history="1">
        <w:r w:rsidR="004E4271" w:rsidRPr="00973E2A">
          <w:rPr>
            <w:rStyle w:val="Hyperlink"/>
            <w:sz w:val="24"/>
            <w:szCs w:val="24"/>
          </w:rPr>
          <w:t>https://en.wikipedia.org/wiki/Community_development#cite_ref-8</w:t>
        </w:r>
      </w:hyperlink>
    </w:p>
    <w:p w:rsidR="00EF0F1D" w:rsidRPr="00EF0F1D" w:rsidRDefault="004E4271" w:rsidP="00EF0F1D">
      <w:pPr>
        <w:spacing w:after="240"/>
        <w:jc w:val="both"/>
        <w:rPr>
          <w:i/>
          <w:iCs/>
          <w:sz w:val="24"/>
          <w:szCs w:val="24"/>
        </w:rPr>
      </w:pPr>
      <w:r w:rsidRPr="004E4271">
        <w:rPr>
          <w:sz w:val="24"/>
          <w:szCs w:val="24"/>
        </w:rPr>
        <w:t> </w:t>
      </w:r>
      <w:r w:rsidR="00EF0F1D">
        <w:rPr>
          <w:sz w:val="24"/>
          <w:szCs w:val="24"/>
        </w:rPr>
        <w:t>2.</w:t>
      </w:r>
      <w:r w:rsidR="00EF0F1D">
        <w:rPr>
          <w:i/>
          <w:iCs/>
          <w:sz w:val="24"/>
          <w:szCs w:val="24"/>
        </w:rPr>
        <w:t>.</w:t>
      </w:r>
      <w:r w:rsidR="00EF0F1D" w:rsidRPr="00EF0F1D">
        <w:rPr>
          <w:rFonts w:ascii="Arial" w:hAnsi="Arial" w:cs="Arial"/>
          <w:color w:val="202122"/>
          <w:sz w:val="19"/>
          <w:szCs w:val="19"/>
        </w:rPr>
        <w:t xml:space="preserve"> </w:t>
      </w:r>
      <w:r w:rsidR="00EF0F1D">
        <w:rPr>
          <w:rFonts w:ascii="Arial" w:hAnsi="Arial" w:cs="Arial"/>
          <w:color w:val="202122"/>
          <w:sz w:val="19"/>
          <w:szCs w:val="19"/>
        </w:rPr>
        <w:t> </w:t>
      </w:r>
      <w:proofErr w:type="spellStart"/>
      <w:r w:rsidR="00EF0F1D">
        <w:rPr>
          <w:rStyle w:val="HTMLCite"/>
          <w:rFonts w:ascii="Arial" w:hAnsi="Arial" w:cs="Arial"/>
          <w:color w:val="202122"/>
          <w:sz w:val="19"/>
          <w:szCs w:val="19"/>
        </w:rPr>
        <w:t>McTague</w:t>
      </w:r>
      <w:proofErr w:type="spellEnd"/>
      <w:r w:rsidR="00EF0F1D">
        <w:rPr>
          <w:rStyle w:val="HTMLCite"/>
          <w:rFonts w:ascii="Arial" w:hAnsi="Arial" w:cs="Arial"/>
          <w:color w:val="202122"/>
          <w:sz w:val="19"/>
          <w:szCs w:val="19"/>
        </w:rPr>
        <w:t>, C.; Jakubowski, S. (2013). "Marching to the beat of a silent drum: Wasted consensus-building and failed neighborhood participatory planning". Applied Geography. </w:t>
      </w:r>
      <w:r w:rsidR="00EF0F1D">
        <w:rPr>
          <w:rStyle w:val="HTMLCite"/>
          <w:rFonts w:ascii="Arial" w:hAnsi="Arial" w:cs="Arial"/>
          <w:b/>
          <w:bCs/>
          <w:color w:val="202122"/>
          <w:sz w:val="19"/>
          <w:szCs w:val="19"/>
        </w:rPr>
        <w:t>44</w:t>
      </w:r>
      <w:r w:rsidR="00EF0F1D">
        <w:rPr>
          <w:rStyle w:val="HTMLCite"/>
          <w:rFonts w:ascii="Arial" w:hAnsi="Arial" w:cs="Arial"/>
          <w:color w:val="202122"/>
          <w:sz w:val="19"/>
          <w:szCs w:val="19"/>
        </w:rPr>
        <w:t>: 182–191. </w:t>
      </w:r>
      <w:hyperlink r:id="rId20" w:tooltip="Doi (identifier)" w:history="1">
        <w:r w:rsidR="00EF0F1D">
          <w:rPr>
            <w:rStyle w:val="Hyperlink"/>
            <w:rFonts w:ascii="Arial" w:hAnsi="Arial" w:cs="Arial"/>
            <w:i/>
            <w:iCs/>
            <w:color w:val="0645AD"/>
            <w:sz w:val="19"/>
            <w:szCs w:val="19"/>
          </w:rPr>
          <w:t>doi</w:t>
        </w:r>
      </w:hyperlink>
      <w:r w:rsidR="00EF0F1D">
        <w:rPr>
          <w:rStyle w:val="HTMLCite"/>
          <w:rFonts w:ascii="Arial" w:hAnsi="Arial" w:cs="Arial"/>
          <w:color w:val="202122"/>
          <w:sz w:val="19"/>
          <w:szCs w:val="19"/>
        </w:rPr>
        <w:t>:</w:t>
      </w:r>
      <w:hyperlink r:id="rId21" w:history="1">
        <w:r w:rsidR="00EF0F1D">
          <w:rPr>
            <w:rStyle w:val="Hyperlink"/>
            <w:rFonts w:ascii="Arial" w:hAnsi="Arial" w:cs="Arial"/>
            <w:i/>
            <w:iCs/>
            <w:color w:val="3366BB"/>
            <w:sz w:val="19"/>
            <w:szCs w:val="19"/>
          </w:rPr>
          <w:t>10.1016/j.apgeog.2013.07.019</w:t>
        </w:r>
      </w:hyperlink>
      <w:r w:rsidR="00EF0F1D">
        <w:rPr>
          <w:rStyle w:val="HTMLCite"/>
          <w:rFonts w:ascii="Arial" w:hAnsi="Arial" w:cs="Arial"/>
          <w:color w:val="202122"/>
          <w:sz w:val="19"/>
          <w:szCs w:val="19"/>
        </w:rPr>
        <w:t>.</w:t>
      </w:r>
    </w:p>
    <w:p w:rsidR="00EF0F1D" w:rsidRDefault="00EF0F1D" w:rsidP="00EF0F1D">
      <w:pPr>
        <w:shd w:val="clear" w:color="auto" w:fill="EAF3FF"/>
        <w:spacing w:before="100" w:beforeAutospacing="1" w:after="24" w:line="240" w:lineRule="auto"/>
        <w:rPr>
          <w:rFonts w:ascii="Arial" w:hAnsi="Arial" w:cs="Arial"/>
          <w:color w:val="202122"/>
          <w:sz w:val="19"/>
          <w:szCs w:val="19"/>
        </w:rPr>
      </w:pPr>
      <w:r>
        <w:rPr>
          <w:sz w:val="24"/>
          <w:szCs w:val="24"/>
        </w:rPr>
        <w:t>3.</w:t>
      </w:r>
      <w:r w:rsidRPr="00EF0F1D">
        <w:rPr>
          <w:rFonts w:ascii="Arial" w:hAnsi="Arial" w:cs="Arial"/>
          <w:color w:val="202122"/>
          <w:sz w:val="19"/>
          <w:szCs w:val="19"/>
        </w:rPr>
        <w:t xml:space="preserve"> </w:t>
      </w:r>
      <w:r>
        <w:rPr>
          <w:rFonts w:ascii="Arial" w:hAnsi="Arial" w:cs="Arial"/>
          <w:color w:val="202122"/>
          <w:sz w:val="19"/>
          <w:szCs w:val="19"/>
        </w:rPr>
        <w:t> </w:t>
      </w:r>
      <w:r>
        <w:rPr>
          <w:rStyle w:val="reference-text"/>
          <w:rFonts w:ascii="Arial" w:hAnsi="Arial" w:cs="Arial"/>
          <w:color w:val="202122"/>
          <w:sz w:val="19"/>
          <w:szCs w:val="19"/>
        </w:rPr>
        <w:t>Johnston, K. A., Lane, A. B., Devin, B., &amp; Beatson, A. (2018). Episodic and Relational Community Engagement: Implications for Social Impact and Social License. In K. A. Johnston &amp; M. Taylor (Eds.), The Handbook of Communication Engagement (pp. 169-185). Hoboken, NJ: Wiley. </w:t>
      </w:r>
      <w:hyperlink r:id="rId22" w:history="1">
        <w:r>
          <w:rPr>
            <w:rStyle w:val="Hyperlink"/>
            <w:rFonts w:ascii="Arial" w:hAnsi="Arial" w:cs="Arial"/>
            <w:color w:val="3366BB"/>
            <w:sz w:val="19"/>
            <w:szCs w:val="19"/>
          </w:rPr>
          <w:t>https://www.wiley.com/en-au/The+Handbook+of+Communication+Engagement-p-9781119167495</w:t>
        </w:r>
      </w:hyperlink>
    </w:p>
    <w:p w:rsidR="00EF0F1D" w:rsidRPr="004E4271" w:rsidRDefault="00EF0F1D" w:rsidP="00EF0F1D">
      <w:pPr>
        <w:spacing w:after="240"/>
        <w:jc w:val="both"/>
        <w:rPr>
          <w:sz w:val="24"/>
          <w:szCs w:val="24"/>
        </w:rPr>
      </w:pPr>
    </w:p>
    <w:p w:rsidR="004E4271" w:rsidRPr="00657236" w:rsidRDefault="004E4271" w:rsidP="00657236">
      <w:pPr>
        <w:spacing w:after="240"/>
        <w:jc w:val="both"/>
        <w:rPr>
          <w:sz w:val="24"/>
          <w:szCs w:val="24"/>
        </w:rPr>
      </w:pPr>
    </w:p>
    <w:p w:rsidR="00657236" w:rsidRDefault="00657236" w:rsidP="00657236">
      <w:pPr>
        <w:spacing w:after="240"/>
        <w:jc w:val="both"/>
        <w:rPr>
          <w:sz w:val="24"/>
          <w:szCs w:val="24"/>
        </w:rPr>
      </w:pPr>
    </w:p>
    <w:p w:rsidR="00657236" w:rsidRPr="00657236" w:rsidRDefault="00657236" w:rsidP="00657236">
      <w:pPr>
        <w:spacing w:after="240"/>
        <w:jc w:val="both"/>
        <w:rPr>
          <w:sz w:val="24"/>
          <w:szCs w:val="24"/>
        </w:rPr>
      </w:pPr>
    </w:p>
    <w:p w:rsidR="00201159" w:rsidRDefault="00201159" w:rsidP="00201159">
      <w:pPr>
        <w:spacing w:after="240"/>
        <w:jc w:val="both"/>
        <w:rPr>
          <w:sz w:val="24"/>
          <w:szCs w:val="24"/>
        </w:rPr>
      </w:pPr>
    </w:p>
    <w:p w:rsidR="00657236" w:rsidRDefault="00657236" w:rsidP="00201159">
      <w:pPr>
        <w:spacing w:after="240"/>
        <w:jc w:val="both"/>
        <w:rPr>
          <w:sz w:val="24"/>
          <w:szCs w:val="24"/>
        </w:rPr>
      </w:pPr>
    </w:p>
    <w:p w:rsidR="00657236" w:rsidRPr="00201159" w:rsidRDefault="00657236" w:rsidP="00201159">
      <w:pPr>
        <w:spacing w:after="240"/>
        <w:jc w:val="both"/>
        <w:rPr>
          <w:sz w:val="24"/>
          <w:szCs w:val="24"/>
        </w:rPr>
      </w:pPr>
    </w:p>
    <w:p w:rsidR="00D56845" w:rsidRPr="00201159" w:rsidRDefault="00201159" w:rsidP="00201159">
      <w:pPr>
        <w:spacing w:after="240"/>
        <w:jc w:val="both"/>
        <w:rPr>
          <w:sz w:val="24"/>
          <w:szCs w:val="24"/>
        </w:rPr>
      </w:pPr>
      <w:r>
        <w:rPr>
          <w:sz w:val="24"/>
          <w:szCs w:val="24"/>
        </w:rPr>
        <w:t xml:space="preserve">                                                                                                                                                             </w:t>
      </w:r>
    </w:p>
    <w:sectPr w:rsidR="00D56845" w:rsidRPr="00201159" w:rsidSect="008A6391">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Open Sans">
    <w:altName w:val="MV Boli"/>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37D12"/>
    <w:multiLevelType w:val="multilevel"/>
    <w:tmpl w:val="BFF25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50B65"/>
    <w:multiLevelType w:val="multilevel"/>
    <w:tmpl w:val="C9BA9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346CC2"/>
    <w:multiLevelType w:val="multilevel"/>
    <w:tmpl w:val="3B06A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82775B"/>
    <w:multiLevelType w:val="multilevel"/>
    <w:tmpl w:val="46FC96E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C25477D"/>
    <w:multiLevelType w:val="multilevel"/>
    <w:tmpl w:val="88246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685407"/>
    <w:multiLevelType w:val="multilevel"/>
    <w:tmpl w:val="BE960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3775CB"/>
    <w:multiLevelType w:val="multilevel"/>
    <w:tmpl w:val="7D162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3E5A24"/>
    <w:multiLevelType w:val="multilevel"/>
    <w:tmpl w:val="AC20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2257573">
    <w:abstractNumId w:val="3"/>
  </w:num>
  <w:num w:numId="2" w16cid:durableId="1541747446">
    <w:abstractNumId w:val="3"/>
  </w:num>
  <w:num w:numId="3" w16cid:durableId="2076389526">
    <w:abstractNumId w:val="3"/>
  </w:num>
  <w:num w:numId="4" w16cid:durableId="704715522">
    <w:abstractNumId w:val="3"/>
  </w:num>
  <w:num w:numId="5" w16cid:durableId="799300461">
    <w:abstractNumId w:val="3"/>
  </w:num>
  <w:num w:numId="6" w16cid:durableId="843403649">
    <w:abstractNumId w:val="3"/>
  </w:num>
  <w:num w:numId="7" w16cid:durableId="885532626">
    <w:abstractNumId w:val="3"/>
  </w:num>
  <w:num w:numId="8" w16cid:durableId="1027675248">
    <w:abstractNumId w:val="3"/>
  </w:num>
  <w:num w:numId="9" w16cid:durableId="1034311686">
    <w:abstractNumId w:val="3"/>
  </w:num>
  <w:num w:numId="10" w16cid:durableId="1537113505">
    <w:abstractNumId w:val="3"/>
  </w:num>
  <w:num w:numId="11" w16cid:durableId="169491159">
    <w:abstractNumId w:val="7"/>
  </w:num>
  <w:num w:numId="12" w16cid:durableId="876046885">
    <w:abstractNumId w:val="0"/>
  </w:num>
  <w:num w:numId="13" w16cid:durableId="564344169">
    <w:abstractNumId w:val="4"/>
  </w:num>
  <w:num w:numId="14" w16cid:durableId="1137649879">
    <w:abstractNumId w:val="6"/>
  </w:num>
  <w:num w:numId="15" w16cid:durableId="1844785245">
    <w:abstractNumId w:val="1"/>
  </w:num>
  <w:num w:numId="16" w16cid:durableId="470291014">
    <w:abstractNumId w:val="5"/>
  </w:num>
  <w:num w:numId="17" w16cid:durableId="16723732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422"/>
    <w:rsid w:val="000F3140"/>
    <w:rsid w:val="00201159"/>
    <w:rsid w:val="00305075"/>
    <w:rsid w:val="004E4271"/>
    <w:rsid w:val="00657236"/>
    <w:rsid w:val="00773422"/>
    <w:rsid w:val="008A6391"/>
    <w:rsid w:val="00D56845"/>
    <w:rsid w:val="00D6572A"/>
    <w:rsid w:val="00EF0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286505-1D45-43E3-9D77-6CA68AA66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391"/>
  </w:style>
  <w:style w:type="paragraph" w:styleId="Heading1">
    <w:name w:val="heading 1"/>
    <w:basedOn w:val="Normal"/>
    <w:next w:val="Normal"/>
    <w:link w:val="Heading1Char"/>
    <w:uiPriority w:val="9"/>
    <w:qFormat/>
    <w:rsid w:val="008A6391"/>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8A639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8A6391"/>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8A6391"/>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8A6391"/>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8A6391"/>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8A6391"/>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8A6391"/>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8A6391"/>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39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8A6391"/>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8A6391"/>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8A6391"/>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8A6391"/>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8A6391"/>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8A6391"/>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A6391"/>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A6391"/>
    <w:rPr>
      <w:b/>
      <w:bCs/>
      <w:i/>
      <w:iCs/>
    </w:rPr>
  </w:style>
  <w:style w:type="paragraph" w:styleId="Caption">
    <w:name w:val="caption"/>
    <w:basedOn w:val="Normal"/>
    <w:next w:val="Normal"/>
    <w:uiPriority w:val="35"/>
    <w:semiHidden/>
    <w:unhideWhenUsed/>
    <w:qFormat/>
    <w:rsid w:val="008A6391"/>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8A6391"/>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itleChar">
    <w:name w:val="Title Char"/>
    <w:basedOn w:val="DefaultParagraphFont"/>
    <w:link w:val="Title"/>
    <w:uiPriority w:val="10"/>
    <w:rsid w:val="008A6391"/>
    <w:rPr>
      <w:rFonts w:asciiTheme="majorHAnsi" w:eastAsiaTheme="majorEastAsia" w:hAnsiTheme="majorHAnsi" w:cstheme="majorBidi"/>
      <w:caps/>
      <w:color w:val="1F497D" w:themeColor="text2"/>
      <w:spacing w:val="30"/>
      <w:sz w:val="72"/>
      <w:szCs w:val="72"/>
    </w:rPr>
  </w:style>
  <w:style w:type="paragraph" w:styleId="Subtitle">
    <w:name w:val="Subtitle"/>
    <w:basedOn w:val="Normal"/>
    <w:next w:val="Normal"/>
    <w:link w:val="SubtitleChar"/>
    <w:uiPriority w:val="11"/>
    <w:qFormat/>
    <w:rsid w:val="008A6391"/>
    <w:pPr>
      <w:numPr>
        <w:ilvl w:val="1"/>
      </w:numPr>
      <w:jc w:val="center"/>
    </w:pPr>
    <w:rPr>
      <w:color w:val="1F497D" w:themeColor="text2"/>
      <w:sz w:val="28"/>
      <w:szCs w:val="28"/>
    </w:rPr>
  </w:style>
  <w:style w:type="character" w:customStyle="1" w:styleId="SubtitleChar">
    <w:name w:val="Subtitle Char"/>
    <w:basedOn w:val="DefaultParagraphFont"/>
    <w:link w:val="Subtitle"/>
    <w:uiPriority w:val="11"/>
    <w:rsid w:val="008A6391"/>
    <w:rPr>
      <w:color w:val="1F497D" w:themeColor="text2"/>
      <w:sz w:val="28"/>
      <w:szCs w:val="28"/>
    </w:rPr>
  </w:style>
  <w:style w:type="character" w:styleId="Strong">
    <w:name w:val="Strong"/>
    <w:basedOn w:val="DefaultParagraphFont"/>
    <w:uiPriority w:val="22"/>
    <w:qFormat/>
    <w:rsid w:val="008A6391"/>
    <w:rPr>
      <w:b/>
      <w:bCs/>
    </w:rPr>
  </w:style>
  <w:style w:type="character" w:styleId="Emphasis">
    <w:name w:val="Emphasis"/>
    <w:basedOn w:val="DefaultParagraphFont"/>
    <w:uiPriority w:val="20"/>
    <w:qFormat/>
    <w:rsid w:val="008A6391"/>
    <w:rPr>
      <w:i/>
      <w:iCs/>
      <w:color w:val="000000" w:themeColor="text1"/>
    </w:rPr>
  </w:style>
  <w:style w:type="paragraph" w:styleId="NoSpacing">
    <w:name w:val="No Spacing"/>
    <w:uiPriority w:val="1"/>
    <w:qFormat/>
    <w:rsid w:val="008A6391"/>
    <w:pPr>
      <w:spacing w:after="0" w:line="240" w:lineRule="auto"/>
    </w:pPr>
  </w:style>
  <w:style w:type="paragraph" w:styleId="Quote">
    <w:name w:val="Quote"/>
    <w:basedOn w:val="Normal"/>
    <w:next w:val="Normal"/>
    <w:link w:val="QuoteChar"/>
    <w:uiPriority w:val="29"/>
    <w:qFormat/>
    <w:rsid w:val="008A6391"/>
    <w:pPr>
      <w:spacing w:before="160"/>
      <w:ind w:left="720" w:right="720"/>
      <w:jc w:val="center"/>
    </w:pPr>
    <w:rPr>
      <w:i/>
      <w:iCs/>
      <w:color w:val="76923C" w:themeColor="accent3" w:themeShade="BF"/>
      <w:sz w:val="24"/>
      <w:szCs w:val="24"/>
    </w:rPr>
  </w:style>
  <w:style w:type="character" w:customStyle="1" w:styleId="QuoteChar">
    <w:name w:val="Quote Char"/>
    <w:basedOn w:val="DefaultParagraphFont"/>
    <w:link w:val="Quote"/>
    <w:uiPriority w:val="29"/>
    <w:rsid w:val="008A6391"/>
    <w:rPr>
      <w:i/>
      <w:iCs/>
      <w:color w:val="76923C" w:themeColor="accent3" w:themeShade="BF"/>
      <w:sz w:val="24"/>
      <w:szCs w:val="24"/>
    </w:rPr>
  </w:style>
  <w:style w:type="paragraph" w:styleId="IntenseQuote">
    <w:name w:val="Intense Quote"/>
    <w:basedOn w:val="Normal"/>
    <w:next w:val="Normal"/>
    <w:link w:val="IntenseQuoteChar"/>
    <w:uiPriority w:val="30"/>
    <w:qFormat/>
    <w:rsid w:val="008A6391"/>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IntenseQuoteChar">
    <w:name w:val="Intense Quote Char"/>
    <w:basedOn w:val="DefaultParagraphFont"/>
    <w:link w:val="IntenseQuote"/>
    <w:uiPriority w:val="30"/>
    <w:rsid w:val="008A6391"/>
    <w:rPr>
      <w:rFonts w:asciiTheme="majorHAnsi" w:eastAsiaTheme="majorEastAsia" w:hAnsiTheme="majorHAnsi" w:cstheme="majorBidi"/>
      <w:caps/>
      <w:color w:val="365F91" w:themeColor="accent1" w:themeShade="BF"/>
      <w:sz w:val="28"/>
      <w:szCs w:val="28"/>
    </w:rPr>
  </w:style>
  <w:style w:type="character" w:styleId="SubtleEmphasis">
    <w:name w:val="Subtle Emphasis"/>
    <w:basedOn w:val="DefaultParagraphFont"/>
    <w:uiPriority w:val="19"/>
    <w:qFormat/>
    <w:rsid w:val="008A6391"/>
    <w:rPr>
      <w:i/>
      <w:iCs/>
      <w:color w:val="595959" w:themeColor="text1" w:themeTint="A6"/>
    </w:rPr>
  </w:style>
  <w:style w:type="character" w:styleId="IntenseEmphasis">
    <w:name w:val="Intense Emphasis"/>
    <w:basedOn w:val="DefaultParagraphFont"/>
    <w:uiPriority w:val="21"/>
    <w:qFormat/>
    <w:rsid w:val="008A6391"/>
    <w:rPr>
      <w:b/>
      <w:bCs/>
      <w:i/>
      <w:iCs/>
      <w:color w:val="auto"/>
    </w:rPr>
  </w:style>
  <w:style w:type="character" w:styleId="SubtleReference">
    <w:name w:val="Subtle Reference"/>
    <w:basedOn w:val="DefaultParagraphFont"/>
    <w:uiPriority w:val="31"/>
    <w:qFormat/>
    <w:rsid w:val="008A639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A6391"/>
    <w:rPr>
      <w:b/>
      <w:bCs/>
      <w:caps w:val="0"/>
      <w:smallCaps/>
      <w:color w:val="auto"/>
      <w:spacing w:val="0"/>
      <w:u w:val="single"/>
    </w:rPr>
  </w:style>
  <w:style w:type="character" w:styleId="BookTitle">
    <w:name w:val="Book Title"/>
    <w:basedOn w:val="DefaultParagraphFont"/>
    <w:uiPriority w:val="33"/>
    <w:qFormat/>
    <w:rsid w:val="008A6391"/>
    <w:rPr>
      <w:b/>
      <w:bCs/>
      <w:caps w:val="0"/>
      <w:smallCaps/>
      <w:spacing w:val="0"/>
    </w:rPr>
  </w:style>
  <w:style w:type="paragraph" w:styleId="TOCHeading">
    <w:name w:val="TOC Heading"/>
    <w:basedOn w:val="Heading1"/>
    <w:next w:val="Normal"/>
    <w:uiPriority w:val="39"/>
    <w:semiHidden/>
    <w:unhideWhenUsed/>
    <w:qFormat/>
    <w:rsid w:val="008A6391"/>
    <w:pPr>
      <w:outlineLvl w:val="9"/>
    </w:pPr>
  </w:style>
  <w:style w:type="character" w:styleId="Hyperlink">
    <w:name w:val="Hyperlink"/>
    <w:basedOn w:val="DefaultParagraphFont"/>
    <w:uiPriority w:val="99"/>
    <w:unhideWhenUsed/>
    <w:rsid w:val="00201159"/>
    <w:rPr>
      <w:color w:val="0000FF" w:themeColor="hyperlink"/>
      <w:u w:val="single"/>
    </w:rPr>
  </w:style>
  <w:style w:type="character" w:styleId="HTMLCite">
    <w:name w:val="HTML Cite"/>
    <w:basedOn w:val="DefaultParagraphFont"/>
    <w:uiPriority w:val="99"/>
    <w:semiHidden/>
    <w:unhideWhenUsed/>
    <w:rsid w:val="00EF0F1D"/>
    <w:rPr>
      <w:i/>
      <w:iCs/>
    </w:rPr>
  </w:style>
  <w:style w:type="character" w:customStyle="1" w:styleId="reference-text">
    <w:name w:val="reference-text"/>
    <w:basedOn w:val="DefaultParagraphFont"/>
    <w:rsid w:val="00EF0F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79224">
      <w:bodyDiv w:val="1"/>
      <w:marLeft w:val="0"/>
      <w:marRight w:val="0"/>
      <w:marTop w:val="0"/>
      <w:marBottom w:val="0"/>
      <w:divBdr>
        <w:top w:val="none" w:sz="0" w:space="0" w:color="auto"/>
        <w:left w:val="none" w:sz="0" w:space="0" w:color="auto"/>
        <w:bottom w:val="none" w:sz="0" w:space="0" w:color="auto"/>
        <w:right w:val="none" w:sz="0" w:space="0" w:color="auto"/>
      </w:divBdr>
      <w:divsChild>
        <w:div w:id="630356208">
          <w:marLeft w:val="0"/>
          <w:marRight w:val="0"/>
          <w:marTop w:val="0"/>
          <w:marBottom w:val="0"/>
          <w:divBdr>
            <w:top w:val="none" w:sz="0" w:space="0" w:color="auto"/>
            <w:left w:val="none" w:sz="0" w:space="0" w:color="auto"/>
            <w:bottom w:val="none" w:sz="0" w:space="0" w:color="auto"/>
            <w:right w:val="none" w:sz="0" w:space="0" w:color="auto"/>
          </w:divBdr>
        </w:div>
      </w:divsChild>
    </w:div>
    <w:div w:id="776870800">
      <w:bodyDiv w:val="1"/>
      <w:marLeft w:val="0"/>
      <w:marRight w:val="0"/>
      <w:marTop w:val="0"/>
      <w:marBottom w:val="0"/>
      <w:divBdr>
        <w:top w:val="none" w:sz="0" w:space="0" w:color="auto"/>
        <w:left w:val="none" w:sz="0" w:space="0" w:color="auto"/>
        <w:bottom w:val="none" w:sz="0" w:space="0" w:color="auto"/>
        <w:right w:val="none" w:sz="0" w:space="0" w:color="auto"/>
      </w:divBdr>
    </w:div>
    <w:div w:id="807666249">
      <w:bodyDiv w:val="1"/>
      <w:marLeft w:val="0"/>
      <w:marRight w:val="0"/>
      <w:marTop w:val="0"/>
      <w:marBottom w:val="0"/>
      <w:divBdr>
        <w:top w:val="none" w:sz="0" w:space="0" w:color="auto"/>
        <w:left w:val="none" w:sz="0" w:space="0" w:color="auto"/>
        <w:bottom w:val="none" w:sz="0" w:space="0" w:color="auto"/>
        <w:right w:val="none" w:sz="0" w:space="0" w:color="auto"/>
      </w:divBdr>
    </w:div>
    <w:div w:id="1115249243">
      <w:bodyDiv w:val="1"/>
      <w:marLeft w:val="0"/>
      <w:marRight w:val="0"/>
      <w:marTop w:val="0"/>
      <w:marBottom w:val="0"/>
      <w:divBdr>
        <w:top w:val="none" w:sz="0" w:space="0" w:color="auto"/>
        <w:left w:val="none" w:sz="0" w:space="0" w:color="auto"/>
        <w:bottom w:val="none" w:sz="0" w:space="0" w:color="auto"/>
        <w:right w:val="none" w:sz="0" w:space="0" w:color="auto"/>
      </w:divBdr>
    </w:div>
    <w:div w:id="1136070804">
      <w:bodyDiv w:val="1"/>
      <w:marLeft w:val="0"/>
      <w:marRight w:val="0"/>
      <w:marTop w:val="0"/>
      <w:marBottom w:val="0"/>
      <w:divBdr>
        <w:top w:val="none" w:sz="0" w:space="0" w:color="auto"/>
        <w:left w:val="none" w:sz="0" w:space="0" w:color="auto"/>
        <w:bottom w:val="none" w:sz="0" w:space="0" w:color="auto"/>
        <w:right w:val="none" w:sz="0" w:space="0" w:color="auto"/>
      </w:divBdr>
    </w:div>
    <w:div w:id="1174026589">
      <w:bodyDiv w:val="1"/>
      <w:marLeft w:val="0"/>
      <w:marRight w:val="0"/>
      <w:marTop w:val="0"/>
      <w:marBottom w:val="0"/>
      <w:divBdr>
        <w:top w:val="none" w:sz="0" w:space="0" w:color="auto"/>
        <w:left w:val="none" w:sz="0" w:space="0" w:color="auto"/>
        <w:bottom w:val="none" w:sz="0" w:space="0" w:color="auto"/>
        <w:right w:val="none" w:sz="0" w:space="0" w:color="auto"/>
      </w:divBdr>
    </w:div>
    <w:div w:id="1209490642">
      <w:bodyDiv w:val="1"/>
      <w:marLeft w:val="0"/>
      <w:marRight w:val="0"/>
      <w:marTop w:val="0"/>
      <w:marBottom w:val="0"/>
      <w:divBdr>
        <w:top w:val="none" w:sz="0" w:space="0" w:color="auto"/>
        <w:left w:val="none" w:sz="0" w:space="0" w:color="auto"/>
        <w:bottom w:val="none" w:sz="0" w:space="0" w:color="auto"/>
        <w:right w:val="none" w:sz="0" w:space="0" w:color="auto"/>
      </w:divBdr>
    </w:div>
    <w:div w:id="1392658602">
      <w:bodyDiv w:val="1"/>
      <w:marLeft w:val="0"/>
      <w:marRight w:val="0"/>
      <w:marTop w:val="0"/>
      <w:marBottom w:val="0"/>
      <w:divBdr>
        <w:top w:val="none" w:sz="0" w:space="0" w:color="auto"/>
        <w:left w:val="none" w:sz="0" w:space="0" w:color="auto"/>
        <w:bottom w:val="none" w:sz="0" w:space="0" w:color="auto"/>
        <w:right w:val="none" w:sz="0" w:space="0" w:color="auto"/>
      </w:divBdr>
    </w:div>
    <w:div w:id="1667394107">
      <w:bodyDiv w:val="1"/>
      <w:marLeft w:val="0"/>
      <w:marRight w:val="0"/>
      <w:marTop w:val="0"/>
      <w:marBottom w:val="0"/>
      <w:divBdr>
        <w:top w:val="none" w:sz="0" w:space="0" w:color="auto"/>
        <w:left w:val="none" w:sz="0" w:space="0" w:color="auto"/>
        <w:bottom w:val="none" w:sz="0" w:space="0" w:color="auto"/>
        <w:right w:val="none" w:sz="0" w:space="0" w:color="auto"/>
      </w:divBdr>
      <w:divsChild>
        <w:div w:id="914821745">
          <w:marLeft w:val="0"/>
          <w:marRight w:val="0"/>
          <w:marTop w:val="0"/>
          <w:marBottom w:val="0"/>
          <w:divBdr>
            <w:top w:val="none" w:sz="0" w:space="0" w:color="auto"/>
            <w:left w:val="none" w:sz="0" w:space="0" w:color="auto"/>
            <w:bottom w:val="none" w:sz="0" w:space="0" w:color="auto"/>
            <w:right w:val="none" w:sz="0" w:space="0" w:color="auto"/>
          </w:divBdr>
        </w:div>
      </w:divsChild>
    </w:div>
    <w:div w:id="197266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apacity_building" TargetMode="External"/><Relationship Id="rId13" Type="http://schemas.openxmlformats.org/officeDocument/2006/relationships/hyperlink" Target="https://en.wikipedia.org/wiki/Research" TargetMode="External"/><Relationship Id="rId18" Type="http://schemas.openxmlformats.org/officeDocument/2006/relationships/hyperlink" Target="https://en.wikipedia.org/wiki/Social_capital" TargetMode="External"/><Relationship Id="rId3" Type="http://schemas.openxmlformats.org/officeDocument/2006/relationships/styles" Target="styles.xml"/><Relationship Id="rId21" Type="http://schemas.openxmlformats.org/officeDocument/2006/relationships/hyperlink" Target="https://doi.org/10.1016%2Fj.apgeog.2013.07.019" TargetMode="External"/><Relationship Id="rId7" Type="http://schemas.openxmlformats.org/officeDocument/2006/relationships/hyperlink" Target="https://en.wikipedia.org/wiki/Large_Group_Capacitation" TargetMode="External"/><Relationship Id="rId12" Type="http://schemas.openxmlformats.org/officeDocument/2006/relationships/hyperlink" Target="https://en.wikipedia.org/wiki/Community-based_participatory_research" TargetMode="External"/><Relationship Id="rId17" Type="http://schemas.openxmlformats.org/officeDocument/2006/relationships/hyperlink" Target="https://en.wikipedia.org/wiki/Developing_countries" TargetMode="External"/><Relationship Id="rId2" Type="http://schemas.openxmlformats.org/officeDocument/2006/relationships/numbering" Target="numbering.xml"/><Relationship Id="rId16" Type="http://schemas.openxmlformats.org/officeDocument/2006/relationships/hyperlink" Target="https://en.wikipedia.org/wiki/Economic_development" TargetMode="External"/><Relationship Id="rId20" Type="http://schemas.openxmlformats.org/officeDocument/2006/relationships/hyperlink" Target="https://en.wikipedia.org/wiki/Doi_(identifier)" TargetMode="External"/><Relationship Id="rId1" Type="http://schemas.openxmlformats.org/officeDocument/2006/relationships/customXml" Target="../customXml/item1.xml"/><Relationship Id="rId6" Type="http://schemas.openxmlformats.org/officeDocument/2006/relationships/hyperlink" Target="https://en.wikipedia.org/wiki/Community_Engagement" TargetMode="External"/><Relationship Id="rId11" Type="http://schemas.openxmlformats.org/officeDocument/2006/relationships/hyperlink" Target="https://en.wikipedia.org/wiki/Economic_development"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Participatory_planning" TargetMode="External"/><Relationship Id="rId23" Type="http://schemas.openxmlformats.org/officeDocument/2006/relationships/fontTable" Target="fontTable.xml"/><Relationship Id="rId10" Type="http://schemas.openxmlformats.org/officeDocument/2006/relationships/hyperlink" Target="https://en.wikipedia.org/wiki/Community_economic_development" TargetMode="External"/><Relationship Id="rId19" Type="http://schemas.openxmlformats.org/officeDocument/2006/relationships/hyperlink" Target="https://en.wikipedia.org/wiki/Community_development#cite_ref-8" TargetMode="External"/><Relationship Id="rId4" Type="http://schemas.openxmlformats.org/officeDocument/2006/relationships/settings" Target="settings.xml"/><Relationship Id="rId9" Type="http://schemas.openxmlformats.org/officeDocument/2006/relationships/hyperlink" Target="https://en.wikipedia.org/wiki/Direct_Action" TargetMode="External"/><Relationship Id="rId14" Type="http://schemas.openxmlformats.org/officeDocument/2006/relationships/hyperlink" Target="https://en.wikipedia.org/wiki/Community" TargetMode="External"/><Relationship Id="rId22" Type="http://schemas.openxmlformats.org/officeDocument/2006/relationships/hyperlink" Target="https://www.wiley.com/en-au/The+Handbook+of+Communication+Engagement-p-97811191674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63D417-16DC-45B0-9969-AA1D36C6C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1225</Words>
  <Characters>6987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ronny</cp:lastModifiedBy>
  <cp:revision>2</cp:revision>
  <dcterms:created xsi:type="dcterms:W3CDTF">2023-06-02T19:57:00Z</dcterms:created>
  <dcterms:modified xsi:type="dcterms:W3CDTF">2023-06-02T19:57:00Z</dcterms:modified>
</cp:coreProperties>
</file>