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企业及实际控制人信用情况综合说明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C00000"/>
                <w:sz w:val="19"/>
              </w:rPr>
              <w:t>模拟测试资料，仅用于Coze授信智能体演示；所有企业、人员、代码、账户、合同、征信、权证及机构信息均为虚构，不具法律、审计、征信、担保或审批效力。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一、企业信用情况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核查项目</w:t>
            </w:r>
          </w:p>
        </w:tc>
        <w:tc>
          <w:tcPr>
            <w:tcW w:type="dxa" w:w="4252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模拟结果</w:t>
            </w:r>
          </w:p>
        </w:tc>
        <w:tc>
          <w:tcPr>
            <w:tcW w:type="dxa" w:w="2551"/>
            <w:vAlign w:val="center"/>
            <w:shd w:fill="1F4E7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企业征信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截至2026-03-31，共3笔未结清融资，风险敞口合计2,380万元；无当前逾期、无欠息。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履约正常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历史还款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近24个月无逾期；2024年曾出现1次2日技术性延迟，银行已出具非恶意说明。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轻微历史事项，影响有限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司法及执行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无失信被执行、无未结重大被执行案件；存在1起买卖合同纠纷，涉案42万元，已于2025年调解结案。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无重大司法风险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行政处罚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2024年因一般固废台账登记不完整被责令整改，无罚款，已完成整改。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一般合规事项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对外担保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企业无对外担保。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风险较低</w:t>
            </w:r>
          </w:p>
        </w:tc>
      </w:tr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纳税信用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模拟纳税信用等级B级；申报及缴纳总体正常。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可接受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二、实际控制人信用情况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实际控制人陈昊，男，41岁，硕士学历，电子信息行业从业16年。个人征信显示住房按揭贷款余额210万元、经营性贷款余额80万元，均正常还款；近24个月无逾期。其本人及配偶无失信、被执行和重大诉讼记录。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三、综合判断</w:t>
      </w:r>
    </w:p>
    <w:p>
      <w:pPr>
        <w:spacing w:line="324" w:lineRule="auto"/>
        <w:ind w:firstLine="420"/>
      </w:pPr>
      <w:r>
        <w:rPr>
          <w:rFonts w:ascii="Noto Sans CJK SC" w:hAnsi="Noto Sans CJK SC" w:eastAsia="Noto Sans CJK SC"/>
          <w:sz w:val="21"/>
        </w:rPr>
        <w:t>企业及实控人整体信用记录正常，未发现重大负面事项。需关注企业融资规模上升、2026年一季度经营现金流阶段性为负及应收账款增长较快等情况。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/>
        <w:color w:val="C00000"/>
        <w:sz w:val="20"/>
      </w:rPr>
      <w:t>模拟测试资料｜非真实凭证｜禁止用于实际业务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