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SC" w:hAnsi="Noto Sans CJK SC" w:eastAsia="Noto Sans CJK SC"/>
          <w:b/>
          <w:color w:val="1F4E78"/>
          <w:sz w:val="40"/>
        </w:rPr>
        <w:t>模拟审计报告</w:t>
      </w:r>
    </w:p>
    <w:p>
      <w:pPr>
        <w:jc w:val="center"/>
      </w:pPr>
      <w:r>
        <w:rPr>
          <w:rFonts w:ascii="Noto Sans CJK SC" w:hAnsi="Noto Sans CJK SC" w:eastAsia="Noto Sans CJK SC"/>
          <w:color w:val="595959"/>
          <w:sz w:val="22"/>
        </w:rPr>
        <w:t>审计年度：2025年度；非会计师事务所正式报告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vAlign w:val="center"/>
            <w:shd w:fill="FFF2CC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C00000"/>
                <w:sz w:val="19"/>
              </w:rPr>
              <w:t>模拟测试资料，仅用于Coze授信智能体演示；所有企业、人员、代码、账户、合同、征信、权证及机构信息均为虚构，不具法律、审计、征信、担保或审批效力。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</w:rPr>
        <w:t>一、模拟审计意见</w:t>
      </w:r>
    </w:p>
    <w:p>
      <w:pPr>
        <w:spacing w:line="324" w:lineRule="auto"/>
        <w:ind w:firstLine="420"/>
      </w:pPr>
      <w:r>
        <w:rPr>
          <w:rFonts w:ascii="Noto Sans CJK SC" w:hAnsi="Noto Sans CJK SC" w:eastAsia="Noto Sans CJK SC"/>
          <w:sz w:val="21"/>
        </w:rPr>
        <w:t>我们模拟审阅了小天元科技有限公司2025年12月31日资产负债表、2025年度利润表和现金流量表及相关说明。基于本测试资料设定，财务报表在所有重大方面按照适用会计政策编制，模拟意见为“标准无保留意见”。</w:t>
      </w:r>
    </w:p>
    <w:p>
      <w:pPr>
        <w:pStyle w:val="Heading1"/>
      </w:pPr>
      <w:r>
        <w:rPr>
          <w:rFonts w:ascii="Noto Sans CJK SC" w:hAnsi="Noto Sans CJK SC" w:eastAsia="Noto Sans CJK SC"/>
        </w:rPr>
        <w:t>二、主要财务数据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835"/>
            <w:vAlign w:val="center"/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2551"/>
            <w:vAlign w:val="center"/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2025年度/年末</w:t>
            </w:r>
          </w:p>
        </w:tc>
        <w:tc>
          <w:tcPr>
            <w:tcW w:type="dxa" w:w="3685"/>
            <w:vAlign w:val="center"/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835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营业收入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17,100万元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同比增长20.42%</w:t>
            </w:r>
          </w:p>
        </w:tc>
      </w:tr>
      <w:tr>
        <w:tc>
          <w:tcPr>
            <w:tcW w:type="dxa" w:w="2835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净利润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1,126万元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净利率6.58%</w:t>
            </w:r>
          </w:p>
        </w:tc>
      </w:tr>
      <w:tr>
        <w:tc>
          <w:tcPr>
            <w:tcW w:type="dxa" w:w="2835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资产总额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14,100万元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较上年增长17.50%</w:t>
            </w:r>
          </w:p>
        </w:tc>
      </w:tr>
      <w:tr>
        <w:tc>
          <w:tcPr>
            <w:tcW w:type="dxa" w:w="2835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负债总额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9,700万元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资产负债率68.79%</w:t>
            </w:r>
          </w:p>
        </w:tc>
      </w:tr>
      <w:tr>
        <w:tc>
          <w:tcPr>
            <w:tcW w:type="dxa" w:w="2835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经营活动现金流净额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810万元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低于净利润，主要受应收账款增长影响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</w:rPr>
        <w:t>三、模拟关注事项</w:t>
      </w:r>
    </w:p>
    <w:p>
      <w:pPr>
        <w:spacing w:line="324" w:lineRule="auto"/>
      </w:pPr>
      <w:r>
        <w:rPr>
          <w:rFonts w:ascii="Noto Sans CJK SC" w:hAnsi="Noto Sans CJK SC" w:eastAsia="Noto Sans CJK SC"/>
          <w:sz w:val="21"/>
        </w:rPr>
        <w:t>• 应收账款年末余额4,100万元，较上年增长20.59%，需关注回款速度。</w:t>
      </w:r>
    </w:p>
    <w:p>
      <w:pPr>
        <w:spacing w:line="324" w:lineRule="auto"/>
      </w:pPr>
      <w:r>
        <w:rPr>
          <w:rFonts w:ascii="Noto Sans CJK SC" w:hAnsi="Noto Sans CJK SC" w:eastAsia="Noto Sans CJK SC"/>
          <w:sz w:val="21"/>
        </w:rPr>
        <w:t>• 存货年末余额2,600万元，较上年增长18.18%，与订单增长基本匹配。</w:t>
      </w:r>
    </w:p>
    <w:p>
      <w:pPr>
        <w:spacing w:line="324" w:lineRule="auto"/>
      </w:pPr>
      <w:r>
        <w:rPr>
          <w:rFonts w:ascii="Noto Sans CJK SC" w:hAnsi="Noto Sans CJK SC" w:eastAsia="Noto Sans CJK SC"/>
          <w:sz w:val="21"/>
        </w:rPr>
        <w:t>• 有息负债年末约3,500万元，融资规模随经营扩张上升。</w:t>
      </w:r>
    </w:p>
    <w:p>
      <w:pPr>
        <w:spacing w:line="324" w:lineRule="auto"/>
      </w:pPr>
      <w:r>
        <w:rPr>
          <w:rFonts w:ascii="Noto Sans CJK SC" w:hAnsi="Noto Sans CJK SC" w:eastAsia="Noto Sans CJK SC"/>
          <w:sz w:val="21"/>
        </w:rPr>
        <w:t>• 本报告未实施函证、盘点、截止测试或其他真实审计程序。</w:t>
      </w:r>
    </w:p>
    <w:p>
      <w:pPr>
        <w:pStyle w:val="Heading1"/>
      </w:pPr>
      <w:r>
        <w:rPr>
          <w:rFonts w:ascii="Noto Sans CJK SC" w:hAnsi="Noto Sans CJK SC" w:eastAsia="Noto Sans CJK SC"/>
        </w:rPr>
        <w:t>四、出具机构</w:t>
      </w:r>
    </w:p>
    <w:p>
      <w:pPr>
        <w:spacing w:line="324" w:lineRule="auto"/>
        <w:ind w:firstLine="420"/>
      </w:pPr>
      <w:r>
        <w:rPr>
          <w:rFonts w:ascii="Noto Sans CJK SC" w:hAnsi="Noto Sans CJK SC" w:eastAsia="Noto Sans CJK SC"/>
          <w:sz w:val="21"/>
        </w:rPr>
        <w:t>苏州衡信会计师事务所（普通合伙）（模拟机构）</w:t>
      </w:r>
    </w:p>
    <w:p>
      <w:pPr>
        <w:spacing w:line="324" w:lineRule="auto"/>
        <w:ind w:firstLine="420"/>
      </w:pPr>
      <w:r>
        <w:rPr>
          <w:rFonts w:ascii="Noto Sans CJK SC" w:hAnsi="Noto Sans CJK SC" w:eastAsia="Noto Sans CJK SC"/>
          <w:sz w:val="21"/>
        </w:rPr>
        <w:t>签字注册会计师：测试人员A、测试人员B（均为虚构）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7F7F7F"/>
        <w:sz w:val="16"/>
      </w:rPr>
      <w:t>小天元科技有限公司（完全虚构）｜仅用于智能体测试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Noto Sans CJK SC" w:hAnsi="Noto Sans CJK SC" w:eastAsia="Noto Sans CJK SC"/>
        <w:b/>
        <w:color w:val="C00000"/>
        <w:sz w:val="20"/>
      </w:rPr>
      <w:t>模拟测试资料｜非真实凭证｜禁止用于实际业务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F4E78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