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A07AD"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政府风险补偿基金资料（模拟）</w:t>
      </w:r>
    </w:p>
    <w:p w14:paraId="3F6924E6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3903C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7A38159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1F4E78"/>
            <w:vAlign w:val="center"/>
          </w:tcPr>
          <w:p w14:paraId="486462C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内容</w:t>
            </w:r>
          </w:p>
        </w:tc>
      </w:tr>
      <w:tr w14:paraId="202D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72DD7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61775C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苏州市科技型小微企业风险补偿资金池（模拟项目）</w:t>
            </w:r>
          </w:p>
        </w:tc>
      </w:tr>
      <w:tr w14:paraId="06BD7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9CE18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支持对象</w:t>
            </w:r>
          </w:p>
        </w:tc>
        <w:tc>
          <w:tcPr>
            <w:tcW w:w="6236" w:type="dxa"/>
            <w:vAlign w:val="center"/>
          </w:tcPr>
          <w:p w14:paraId="431741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符合条件的科技型、制造业小微企业</w:t>
            </w:r>
          </w:p>
        </w:tc>
      </w:tr>
      <w:tr w14:paraId="254FF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B245CD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本次授信金额</w:t>
            </w:r>
          </w:p>
        </w:tc>
        <w:tc>
          <w:tcPr>
            <w:tcW w:w="6236" w:type="dxa"/>
            <w:vAlign w:val="center"/>
          </w:tcPr>
          <w:p w14:paraId="34CE1F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1,500万元</w:t>
            </w:r>
          </w:p>
        </w:tc>
      </w:tr>
      <w:tr w14:paraId="01617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BA97B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风险分担设定</w:t>
            </w:r>
          </w:p>
        </w:tc>
        <w:tc>
          <w:tcPr>
            <w:tcW w:w="6236" w:type="dxa"/>
            <w:vAlign w:val="center"/>
          </w:tcPr>
          <w:p w14:paraId="1B7962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风险补偿资金承担15%；融资担保公司承担25%；省级再担保计划承担40%；银行承担20%</w:t>
            </w:r>
          </w:p>
        </w:tc>
      </w:tr>
      <w:tr w14:paraId="57BC5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C2E32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适用期限</w:t>
            </w:r>
          </w:p>
        </w:tc>
        <w:tc>
          <w:tcPr>
            <w:tcW w:w="6236" w:type="dxa"/>
            <w:vAlign w:val="center"/>
          </w:tcPr>
          <w:p w14:paraId="6DFB050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授信存续期内，最长12个月</w:t>
            </w:r>
          </w:p>
        </w:tc>
      </w:tr>
      <w:tr w14:paraId="6C4AE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41EED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触发条件</w:t>
            </w:r>
          </w:p>
        </w:tc>
        <w:tc>
          <w:tcPr>
            <w:tcW w:w="6236" w:type="dxa"/>
            <w:vAlign w:val="center"/>
          </w:tcPr>
          <w:p w14:paraId="423797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借款人发生实质违约并完成规定的追偿、核销及申报流程</w:t>
            </w:r>
          </w:p>
        </w:tc>
      </w:tr>
      <w:tr w14:paraId="49B94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6B8B0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排除情形</w:t>
            </w:r>
          </w:p>
        </w:tc>
        <w:tc>
          <w:tcPr>
            <w:tcW w:w="6236" w:type="dxa"/>
            <w:vAlign w:val="center"/>
          </w:tcPr>
          <w:p w14:paraId="472E30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虚假材料、改变用途、关联交易输送、银行未尽职等</w:t>
            </w:r>
          </w:p>
        </w:tc>
      </w:tr>
      <w:tr w14:paraId="3342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F9AB0A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贷后要求</w:t>
            </w:r>
          </w:p>
        </w:tc>
        <w:tc>
          <w:tcPr>
            <w:tcW w:w="6236" w:type="dxa"/>
            <w:vAlign w:val="center"/>
          </w:tcPr>
          <w:p w14:paraId="3864FD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按季报送经营、融资、征信及资金用途情况</w:t>
            </w:r>
          </w:p>
        </w:tc>
      </w:tr>
      <w:tr w14:paraId="015A2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33670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特别说明</w:t>
            </w:r>
          </w:p>
        </w:tc>
        <w:tc>
          <w:tcPr>
            <w:tcW w:w="6236" w:type="dxa"/>
            <w:vAlign w:val="center"/>
          </w:tcPr>
          <w:p w14:paraId="6830A0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以上为教学模拟规则，实际业务应以正式政策、合作协议及产品制度为准</w:t>
            </w:r>
          </w:p>
        </w:tc>
      </w:tr>
    </w:tbl>
    <w:p w14:paraId="2A91A2B5"/>
    <w:p w14:paraId="25921E22"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按照模拟风险分担比例，银行最终风险承担比例不超过20%，但风险补偿不替代对借款人第一还款来源和真实经营情况的审查。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020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35F87">
    <w:pPr>
      <w:pStyle w:val="24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29B8D">
    <w:pPr>
      <w:pStyle w:val="25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453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372</Words>
  <Characters>390</Characters>
  <Lines>0</Lines>
  <Paragraphs>0</Paragraphs>
  <TotalTime>0</TotalTime>
  <ScaleCrop>false</ScaleCrop>
  <LinksUpToDate>false</LinksUpToDate>
  <CharactersWithSpaces>390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Leon</cp:lastModifiedBy>
  <dcterms:modified xsi:type="dcterms:W3CDTF">2026-06-30T15:06:56Z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eyJoZGlkIjoiYTI2MGY2NWEzODljYWMxNTc3Zjg0ZjYzNmFmOTIwYjQiLCJ1c2VySWQiOiI1Njc4MTU1MDkifQ==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58E72325671D448990B0EE3D2835B939_12</vt:lpwstr>
  </property>
</Properties>
</file>