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4DBDAF">
      <w:pPr>
        <w:jc w:val="center"/>
      </w:pPr>
      <w:r>
        <w:rPr>
          <w:rFonts w:ascii="Noto Sans CJK SC" w:hAnsi="Noto Sans CJK SC" w:eastAsia="Noto Sans CJK SC"/>
          <w:b/>
          <w:color w:val="1F4E78"/>
          <w:sz w:val="40"/>
        </w:rPr>
        <w:t>客户经理现场调查记录</w:t>
      </w:r>
      <w:bookmarkStart w:id="0" w:name="_GoBack"/>
      <w:bookmarkEnd w:id="0"/>
    </w:p>
    <w:p w14:paraId="60C8E3DE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0F55C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8"/>
            <w:vAlign w:val="center"/>
          </w:tcPr>
          <w:p w14:paraId="5D498D2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w="6236" w:type="dxa"/>
            <w:shd w:val="clear" w:color="auto" w:fill="1F4E78"/>
            <w:vAlign w:val="center"/>
          </w:tcPr>
          <w:p w14:paraId="59D999C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记录</w:t>
            </w:r>
          </w:p>
        </w:tc>
      </w:tr>
      <w:tr w14:paraId="5A51F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DA408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调查日期</w:t>
            </w:r>
          </w:p>
        </w:tc>
        <w:tc>
          <w:tcPr>
            <w:tcW w:w="6236" w:type="dxa"/>
            <w:vAlign w:val="center"/>
          </w:tcPr>
          <w:p w14:paraId="79774D9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2026年4月8日</w:t>
            </w:r>
          </w:p>
        </w:tc>
      </w:tr>
      <w:tr w14:paraId="23885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6FD54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调查地点</w:t>
            </w:r>
          </w:p>
        </w:tc>
        <w:tc>
          <w:tcPr>
            <w:tcW w:w="6236" w:type="dxa"/>
            <w:vAlign w:val="center"/>
          </w:tcPr>
          <w:p w14:paraId="749DE72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江苏省苏州市工业园区金鸡湖大道168号2号厂房（模拟地址）</w:t>
            </w:r>
          </w:p>
        </w:tc>
      </w:tr>
      <w:tr w14:paraId="6E38F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25A2F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参与人员</w:t>
            </w:r>
          </w:p>
        </w:tc>
        <w:tc>
          <w:tcPr>
            <w:tcW w:w="6236" w:type="dxa"/>
            <w:vAlign w:val="center"/>
          </w:tcPr>
          <w:p w14:paraId="0F4843C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主办客户经理王宁、协办客户经理赵晨（均为模拟人物）</w:t>
            </w:r>
          </w:p>
        </w:tc>
      </w:tr>
      <w:tr w14:paraId="16082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886C1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访谈对象</w:t>
            </w:r>
          </w:p>
        </w:tc>
        <w:tc>
          <w:tcPr>
            <w:tcW w:w="6236" w:type="dxa"/>
            <w:vAlign w:val="center"/>
          </w:tcPr>
          <w:p w14:paraId="1427F8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实际控制人陈昊、财务负责人周岚、生产负责人李工（模拟）</w:t>
            </w:r>
          </w:p>
        </w:tc>
      </w:tr>
      <w:tr w14:paraId="34B6E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81942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经营场所</w:t>
            </w:r>
          </w:p>
        </w:tc>
        <w:tc>
          <w:tcPr>
            <w:tcW w:w="6236" w:type="dxa"/>
            <w:vAlign w:val="center"/>
          </w:tcPr>
          <w:p w14:paraId="59E1A0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租赁厂房约2,600平方米，租期至2029年12月；另有自有研发办公房产520.36平方米</w:t>
            </w:r>
          </w:p>
        </w:tc>
      </w:tr>
      <w:tr w14:paraId="1E466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7E5A0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员工情况</w:t>
            </w:r>
          </w:p>
        </w:tc>
        <w:tc>
          <w:tcPr>
            <w:tcW w:w="6236" w:type="dxa"/>
            <w:vAlign w:val="center"/>
          </w:tcPr>
          <w:p w14:paraId="4CB6CED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现场及花名册显示员工78人，其中研发18人、生产质量43人、销售管理17人</w:t>
            </w:r>
          </w:p>
        </w:tc>
      </w:tr>
      <w:tr w14:paraId="0B66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077410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主要设备</w:t>
            </w:r>
          </w:p>
        </w:tc>
        <w:tc>
          <w:tcPr>
            <w:tcW w:w="6236" w:type="dxa"/>
            <w:vAlign w:val="center"/>
          </w:tcPr>
          <w:p w14:paraId="33DE78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两条模块装配线、三套自动测试系统、老化测试柜、实验室检测设备；SMT主要外协</w:t>
            </w:r>
          </w:p>
        </w:tc>
      </w:tr>
      <w:tr w14:paraId="3F0BE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29CD3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生产情况</w:t>
            </w:r>
          </w:p>
        </w:tc>
        <w:tc>
          <w:tcPr>
            <w:tcW w:w="6236" w:type="dxa"/>
            <w:vAlign w:val="center"/>
          </w:tcPr>
          <w:p w14:paraId="6CADFE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现场生产正常，订单排产约2.5个月；原材料库芯片及PCB库存与采购计划基本匹配</w:t>
            </w:r>
          </w:p>
        </w:tc>
      </w:tr>
      <w:tr w14:paraId="06644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DBC76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财务管理</w:t>
            </w:r>
          </w:p>
        </w:tc>
        <w:tc>
          <w:tcPr>
            <w:tcW w:w="6236" w:type="dxa"/>
            <w:vAlign w:val="center"/>
          </w:tcPr>
          <w:p w14:paraId="57F0422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使用ERP和财务软件，合同、采购、入库、发票及付款流程较完整</w:t>
            </w:r>
          </w:p>
        </w:tc>
      </w:tr>
      <w:tr w14:paraId="23411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998D5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融资用途</w:t>
            </w:r>
          </w:p>
        </w:tc>
        <w:tc>
          <w:tcPr>
            <w:tcW w:w="6236" w:type="dxa"/>
            <w:vAlign w:val="center"/>
          </w:tcPr>
          <w:p w14:paraId="47DB21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主要用于芯片预付款、PCB采购和生产外协费用</w:t>
            </w:r>
          </w:p>
        </w:tc>
      </w:tr>
      <w:tr w14:paraId="7FBA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CD0A2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现场异常</w:t>
            </w:r>
          </w:p>
        </w:tc>
        <w:tc>
          <w:tcPr>
            <w:tcW w:w="6236" w:type="dxa"/>
            <w:vAlign w:val="center"/>
          </w:tcPr>
          <w:p w14:paraId="16DEB25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2026年一季度应收账款及存货上升，经营现金流为负；需加强回款和库存管理</w:t>
            </w:r>
          </w:p>
        </w:tc>
      </w:tr>
      <w:tr w14:paraId="534DF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4071C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调查结论</w:t>
            </w:r>
          </w:p>
        </w:tc>
        <w:tc>
          <w:tcPr>
            <w:tcW w:w="6236" w:type="dxa"/>
            <w:vAlign w:val="center"/>
          </w:tcPr>
          <w:p w14:paraId="4EDF1F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企业经营真实，授信需求具有业务背景；建议附条件授信并落实担保、回款归集及分阶段提款</w:t>
            </w:r>
          </w:p>
        </w:tc>
      </w:tr>
    </w:tbl>
    <w:p w14:paraId="4EF97269"/>
    <w:p w14:paraId="590A36A1">
      <w:pPr>
        <w:pStyle w:val="3"/>
      </w:pPr>
      <w:r>
        <w:rPr>
          <w:rFonts w:ascii="Noto Sans CJK SC" w:hAnsi="Noto Sans CJK SC" w:eastAsia="Noto Sans CJK SC"/>
        </w:rPr>
        <w:t>现场核验材料</w:t>
      </w:r>
    </w:p>
    <w:p w14:paraId="34FB5DCE"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营业执照、公司章程及股权资料；</w:t>
      </w:r>
    </w:p>
    <w:p w14:paraId="5A47EA36"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财务报表、纳税申报表及主要账户流水；</w:t>
      </w:r>
    </w:p>
    <w:p w14:paraId="0CF52693"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主要销售、采购合同和在手订单；</w:t>
      </w:r>
    </w:p>
    <w:p w14:paraId="2DFD89BB"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仓库库存台账及应收账款明细；</w:t>
      </w:r>
    </w:p>
    <w:p w14:paraId="19CE6048">
      <w:pPr>
        <w:spacing w:line="324" w:lineRule="auto"/>
      </w:pPr>
      <w:r>
        <w:rPr>
          <w:rFonts w:ascii="Noto Sans CJK SC" w:hAnsi="Noto Sans CJK SC" w:eastAsia="Noto Sans CJK SC"/>
          <w:sz w:val="21"/>
        </w:rPr>
        <w:t>• 现有银行融资合同和还款记录。</w:t>
      </w:r>
    </w:p>
    <w:sectPr>
      <w:headerReference r:id="rId5" w:type="default"/>
      <w:footerReference r:id="rId6" w:type="default"/>
      <w:pgSz w:w="12240" w:h="15840"/>
      <w:pgMar w:top="1020" w:right="1020" w:bottom="907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C67EC">
    <w:pPr>
      <w:pStyle w:val="24"/>
      <w:jc w:val="center"/>
    </w:pPr>
    <w:r>
      <w:rPr>
        <w:rFonts w:ascii="Noto Sans CJK SC" w:hAnsi="Noto Sans CJK SC" w:eastAsia="Noto Sans CJK SC"/>
        <w:color w:val="7F7F7F"/>
        <w:sz w:val="16"/>
      </w:rPr>
      <w:t>小天元科技有限公司（完全虚构）｜仅用于智能体测试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111B6">
    <w:pPr>
      <w:pStyle w:val="2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CA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8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8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8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F4E78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566</Words>
  <Characters>604</Characters>
  <Lines>0</Lines>
  <Paragraphs>0</Paragraphs>
  <TotalTime>0</TotalTime>
  <ScaleCrop>false</ScaleCrop>
  <LinksUpToDate>false</LinksUpToDate>
  <CharactersWithSpaces>609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Leon</cp:lastModifiedBy>
  <dcterms:modified xsi:type="dcterms:W3CDTF">2026-06-30T15:06:44Z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eyJoZGlkIjoiYTI2MGY2NWEzODljYWMxNTc3Zjg0ZjYzNmFmOTIwYjQiLCJ1c2VySWQiOiI1Njc4MTU1MDkifQ==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9F4DB433432F40D3A1AC2A9F89DDF71B_12</vt:lpwstr>
  </property>
</Properties>
</file>