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994C" w14:textId="77777777" w:rsidR="00946940" w:rsidRPr="003E7EB4" w:rsidRDefault="00000000">
      <w:pPr>
        <w:pStyle w:val="aa"/>
        <w:spacing w:before="1700"/>
        <w:jc w:val="center"/>
        <w:rPr>
          <w:rFonts w:ascii="Times New Roman" w:eastAsia="宋体" w:hAnsi="Times New Roman" w:cs="Times New Roman"/>
          <w:sz w:val="40"/>
          <w:szCs w:val="44"/>
          <w:lang w:eastAsia="zh-CN"/>
        </w:rPr>
      </w:pPr>
      <w:r w:rsidRPr="003E7EB4">
        <w:rPr>
          <w:rFonts w:ascii="Times New Roman" w:eastAsia="宋体" w:hAnsi="Times New Roman" w:cs="Times New Roman"/>
          <w:sz w:val="36"/>
          <w:szCs w:val="48"/>
          <w:lang w:eastAsia="zh-CN"/>
        </w:rPr>
        <w:t>重组人源化抗</w:t>
      </w:r>
      <w:r w:rsidRPr="003E7EB4">
        <w:rPr>
          <w:rFonts w:ascii="Times New Roman" w:eastAsia="宋体" w:hAnsi="Times New Roman" w:cs="Times New Roman"/>
          <w:sz w:val="36"/>
          <w:szCs w:val="48"/>
          <w:lang w:eastAsia="zh-CN"/>
        </w:rPr>
        <w:t>PD-L1</w:t>
      </w:r>
      <w:r w:rsidRPr="003E7EB4">
        <w:rPr>
          <w:rFonts w:ascii="Times New Roman" w:eastAsia="宋体" w:hAnsi="Times New Roman" w:cs="Times New Roman"/>
          <w:sz w:val="36"/>
          <w:szCs w:val="48"/>
          <w:lang w:eastAsia="zh-CN"/>
        </w:rPr>
        <w:t>单克隆抗体</w:t>
      </w:r>
      <w:r w:rsidRPr="003E7EB4">
        <w:rPr>
          <w:rFonts w:ascii="Times New Roman" w:eastAsia="宋体" w:hAnsi="Times New Roman" w:cs="Times New Roman"/>
          <w:sz w:val="36"/>
          <w:szCs w:val="48"/>
          <w:lang w:eastAsia="zh-CN"/>
        </w:rPr>
        <w:br/>
      </w:r>
      <w:r w:rsidRPr="003E7EB4">
        <w:rPr>
          <w:rFonts w:ascii="Times New Roman" w:eastAsia="宋体" w:hAnsi="Times New Roman" w:cs="Times New Roman"/>
          <w:sz w:val="32"/>
          <w:szCs w:val="44"/>
          <w:lang w:eastAsia="zh-CN"/>
        </w:rPr>
        <w:t>VT8802</w:t>
      </w:r>
    </w:p>
    <w:p w14:paraId="6477C5DC" w14:textId="77777777" w:rsidR="00946940" w:rsidRPr="003E7EB4" w:rsidRDefault="00000000">
      <w:pPr>
        <w:pStyle w:val="aa"/>
        <w:spacing w:before="200"/>
        <w:jc w:val="center"/>
        <w:rPr>
          <w:rFonts w:ascii="Times New Roman" w:eastAsia="宋体" w:hAnsi="Times New Roman" w:cs="Times New Roman"/>
          <w:sz w:val="36"/>
          <w:szCs w:val="40"/>
          <w:lang w:eastAsia="zh-CN"/>
        </w:rPr>
      </w:pPr>
      <w:r w:rsidRPr="003E7EB4">
        <w:rPr>
          <w:rFonts w:ascii="Times New Roman" w:eastAsia="宋体" w:hAnsi="Times New Roman" w:cs="Times New Roman"/>
          <w:sz w:val="36"/>
          <w:szCs w:val="40"/>
          <w:lang w:eastAsia="zh-CN"/>
        </w:rPr>
        <w:t>研发期间安全性更新报告</w:t>
      </w:r>
      <w:r w:rsidRPr="003E7EB4">
        <w:rPr>
          <w:rFonts w:ascii="Times New Roman" w:eastAsia="宋体" w:hAnsi="Times New Roman" w:cs="Times New Roman"/>
          <w:sz w:val="36"/>
          <w:szCs w:val="40"/>
          <w:lang w:eastAsia="zh-CN"/>
        </w:rPr>
        <w:t>#2</w:t>
      </w:r>
    </w:p>
    <w:p w14:paraId="61EE6D2D" w14:textId="77777777" w:rsidR="00946940" w:rsidRPr="00CA09A6" w:rsidRDefault="00000000" w:rsidP="00362D06">
      <w:pPr>
        <w:spacing w:before="500"/>
        <w:ind w:firstLineChars="1100" w:firstLine="2420"/>
        <w:rPr>
          <w:rFonts w:ascii="Times New Roman" w:eastAsia="宋体" w:hAnsi="Times New Roman" w:cs="Times New Roman"/>
          <w:sz w:val="22"/>
          <w:szCs w:val="24"/>
          <w:lang w:eastAsia="zh-CN"/>
        </w:rPr>
      </w:pPr>
      <w:r w:rsidRPr="00CA09A6">
        <w:rPr>
          <w:rFonts w:ascii="Times New Roman" w:eastAsia="宋体" w:hAnsi="Times New Roman" w:cs="Times New Roman"/>
          <w:sz w:val="22"/>
          <w:szCs w:val="24"/>
          <w:lang w:eastAsia="zh-CN"/>
        </w:rPr>
        <w:t>涵盖周期：</w:t>
      </w:r>
      <w:r w:rsidRPr="00CA09A6">
        <w:rPr>
          <w:rFonts w:ascii="Times New Roman" w:eastAsia="宋体" w:hAnsi="Times New Roman" w:cs="Times New Roman"/>
          <w:sz w:val="22"/>
          <w:szCs w:val="24"/>
          <w:lang w:eastAsia="zh-CN"/>
        </w:rPr>
        <w:t>2022</w:t>
      </w:r>
      <w:r w:rsidRPr="00CA09A6">
        <w:rPr>
          <w:rFonts w:ascii="Times New Roman" w:eastAsia="宋体" w:hAnsi="Times New Roman" w:cs="Times New Roman"/>
          <w:sz w:val="22"/>
          <w:szCs w:val="24"/>
          <w:lang w:eastAsia="zh-CN"/>
        </w:rPr>
        <w:t>年</w:t>
      </w:r>
      <w:r w:rsidRPr="00CA09A6">
        <w:rPr>
          <w:rFonts w:ascii="Times New Roman" w:eastAsia="宋体" w:hAnsi="Times New Roman" w:cs="Times New Roman"/>
          <w:sz w:val="22"/>
          <w:szCs w:val="24"/>
          <w:lang w:eastAsia="zh-CN"/>
        </w:rPr>
        <w:t>12</w:t>
      </w:r>
      <w:r w:rsidRPr="00CA09A6">
        <w:rPr>
          <w:rFonts w:ascii="Times New Roman" w:eastAsia="宋体" w:hAnsi="Times New Roman" w:cs="Times New Roman"/>
          <w:sz w:val="22"/>
          <w:szCs w:val="24"/>
          <w:lang w:eastAsia="zh-CN"/>
        </w:rPr>
        <w:t>月</w:t>
      </w:r>
      <w:r w:rsidRPr="00CA09A6">
        <w:rPr>
          <w:rFonts w:ascii="Times New Roman" w:eastAsia="宋体" w:hAnsi="Times New Roman" w:cs="Times New Roman"/>
          <w:sz w:val="22"/>
          <w:szCs w:val="24"/>
          <w:lang w:eastAsia="zh-CN"/>
        </w:rPr>
        <w:t>01</w:t>
      </w:r>
      <w:r w:rsidRPr="00CA09A6">
        <w:rPr>
          <w:rFonts w:ascii="Times New Roman" w:eastAsia="宋体" w:hAnsi="Times New Roman" w:cs="Times New Roman"/>
          <w:sz w:val="22"/>
          <w:szCs w:val="24"/>
          <w:lang w:eastAsia="zh-CN"/>
        </w:rPr>
        <w:t>日</w:t>
      </w:r>
      <w:r w:rsidRPr="00CA09A6">
        <w:rPr>
          <w:rFonts w:ascii="Times New Roman" w:eastAsia="宋体" w:hAnsi="Times New Roman" w:cs="Times New Roman"/>
          <w:sz w:val="22"/>
          <w:szCs w:val="24"/>
          <w:lang w:eastAsia="zh-CN"/>
        </w:rPr>
        <w:t>-2023</w:t>
      </w:r>
      <w:r w:rsidRPr="00CA09A6">
        <w:rPr>
          <w:rFonts w:ascii="Times New Roman" w:eastAsia="宋体" w:hAnsi="Times New Roman" w:cs="Times New Roman"/>
          <w:sz w:val="22"/>
          <w:szCs w:val="24"/>
          <w:lang w:eastAsia="zh-CN"/>
        </w:rPr>
        <w:t>年</w:t>
      </w:r>
      <w:r w:rsidRPr="00CA09A6">
        <w:rPr>
          <w:rFonts w:ascii="Times New Roman" w:eastAsia="宋体" w:hAnsi="Times New Roman" w:cs="Times New Roman"/>
          <w:sz w:val="22"/>
          <w:szCs w:val="24"/>
          <w:lang w:eastAsia="zh-CN"/>
        </w:rPr>
        <w:t>11</w:t>
      </w:r>
      <w:r w:rsidRPr="00CA09A6">
        <w:rPr>
          <w:rFonts w:ascii="Times New Roman" w:eastAsia="宋体" w:hAnsi="Times New Roman" w:cs="Times New Roman"/>
          <w:sz w:val="22"/>
          <w:szCs w:val="24"/>
          <w:lang w:eastAsia="zh-CN"/>
        </w:rPr>
        <w:t>月</w:t>
      </w:r>
      <w:r w:rsidRPr="00CA09A6">
        <w:rPr>
          <w:rFonts w:ascii="Times New Roman" w:eastAsia="宋体" w:hAnsi="Times New Roman" w:cs="Times New Roman"/>
          <w:sz w:val="22"/>
          <w:szCs w:val="24"/>
          <w:lang w:eastAsia="zh-CN"/>
        </w:rPr>
        <w:t>30</w:t>
      </w:r>
      <w:r w:rsidRPr="00CA09A6">
        <w:rPr>
          <w:rFonts w:ascii="Times New Roman" w:eastAsia="宋体" w:hAnsi="Times New Roman" w:cs="Times New Roman"/>
          <w:sz w:val="22"/>
          <w:szCs w:val="24"/>
          <w:lang w:eastAsia="zh-CN"/>
        </w:rPr>
        <w:t>日</w:t>
      </w:r>
    </w:p>
    <w:p w14:paraId="7BD1B271" w14:textId="77777777" w:rsidR="00362D06" w:rsidRPr="00CA09A6" w:rsidRDefault="00000000" w:rsidP="00362D06">
      <w:pPr>
        <w:ind w:firstLineChars="1080" w:firstLine="2376"/>
        <w:rPr>
          <w:rFonts w:ascii="Times New Roman" w:eastAsia="宋体" w:hAnsi="Times New Roman" w:cs="Times New Roman"/>
          <w:sz w:val="22"/>
          <w:szCs w:val="24"/>
          <w:lang w:eastAsia="zh-CN"/>
        </w:rPr>
      </w:pPr>
      <w:r w:rsidRPr="00CA09A6">
        <w:rPr>
          <w:rFonts w:ascii="Times New Roman" w:eastAsia="宋体" w:hAnsi="Times New Roman" w:cs="Times New Roman"/>
          <w:sz w:val="22"/>
          <w:szCs w:val="24"/>
          <w:lang w:eastAsia="zh-CN"/>
        </w:rPr>
        <w:t>报告日期：</w:t>
      </w:r>
      <w:r w:rsidRPr="00CA09A6">
        <w:rPr>
          <w:rFonts w:ascii="Times New Roman" w:eastAsia="宋体" w:hAnsi="Times New Roman" w:cs="Times New Roman"/>
          <w:sz w:val="22"/>
          <w:szCs w:val="24"/>
          <w:lang w:eastAsia="zh-CN"/>
        </w:rPr>
        <w:t>2024</w:t>
      </w:r>
      <w:r w:rsidRPr="00CA09A6">
        <w:rPr>
          <w:rFonts w:ascii="Times New Roman" w:eastAsia="宋体" w:hAnsi="Times New Roman" w:cs="Times New Roman"/>
          <w:sz w:val="22"/>
          <w:szCs w:val="24"/>
          <w:lang w:eastAsia="zh-CN"/>
        </w:rPr>
        <w:t>年</w:t>
      </w:r>
      <w:r w:rsidRPr="00CA09A6">
        <w:rPr>
          <w:rFonts w:ascii="Times New Roman" w:eastAsia="宋体" w:hAnsi="Times New Roman" w:cs="Times New Roman"/>
          <w:sz w:val="22"/>
          <w:szCs w:val="24"/>
          <w:lang w:eastAsia="zh-CN"/>
        </w:rPr>
        <w:t>2</w:t>
      </w:r>
      <w:r w:rsidRPr="00CA09A6">
        <w:rPr>
          <w:rFonts w:ascii="Times New Roman" w:eastAsia="宋体" w:hAnsi="Times New Roman" w:cs="Times New Roman"/>
          <w:sz w:val="22"/>
          <w:szCs w:val="24"/>
          <w:lang w:eastAsia="zh-CN"/>
        </w:rPr>
        <w:t>月</w:t>
      </w:r>
      <w:r w:rsidRPr="00CA09A6">
        <w:rPr>
          <w:rFonts w:ascii="Times New Roman" w:eastAsia="宋体" w:hAnsi="Times New Roman" w:cs="Times New Roman"/>
          <w:sz w:val="22"/>
          <w:szCs w:val="24"/>
          <w:lang w:eastAsia="zh-CN"/>
        </w:rPr>
        <w:t>20</w:t>
      </w:r>
      <w:r w:rsidRPr="00CA09A6">
        <w:rPr>
          <w:rFonts w:ascii="Times New Roman" w:eastAsia="宋体" w:hAnsi="Times New Roman" w:cs="Times New Roman"/>
          <w:sz w:val="22"/>
          <w:szCs w:val="24"/>
          <w:lang w:eastAsia="zh-CN"/>
        </w:rPr>
        <w:t>日</w:t>
      </w:r>
    </w:p>
    <w:p w14:paraId="17A28DC9" w14:textId="26EA0BC1" w:rsidR="00946940" w:rsidRPr="00CA09A6" w:rsidRDefault="00000000" w:rsidP="00362D06">
      <w:pPr>
        <w:ind w:firstLineChars="1080" w:firstLine="2376"/>
        <w:rPr>
          <w:rFonts w:ascii="Times New Roman" w:eastAsia="宋体" w:hAnsi="Times New Roman" w:cs="Times New Roman"/>
          <w:sz w:val="22"/>
          <w:szCs w:val="24"/>
          <w:lang w:eastAsia="zh-CN"/>
        </w:rPr>
      </w:pPr>
      <w:r w:rsidRPr="00CA09A6">
        <w:rPr>
          <w:rFonts w:ascii="Times New Roman" w:eastAsia="宋体" w:hAnsi="Times New Roman" w:cs="Times New Roman"/>
          <w:sz w:val="22"/>
          <w:szCs w:val="24"/>
          <w:lang w:eastAsia="zh-CN"/>
        </w:rPr>
        <w:t>申办者：某某生物医药有限公司</w:t>
      </w:r>
    </w:p>
    <w:p w14:paraId="52260D98" w14:textId="77777777" w:rsidR="00946940" w:rsidRPr="00CA09A6" w:rsidRDefault="00000000">
      <w:pPr>
        <w:rPr>
          <w:rFonts w:ascii="Times New Roman" w:eastAsia="宋体" w:hAnsi="Times New Roman" w:cs="Times New Roman"/>
          <w:lang w:eastAsia="zh-CN"/>
        </w:rPr>
      </w:pPr>
      <w:r w:rsidRPr="00CA09A6">
        <w:rPr>
          <w:rFonts w:ascii="Times New Roman" w:eastAsia="宋体" w:hAnsi="Times New Roman" w:cs="Times New Roman"/>
          <w:lang w:eastAsia="zh-CN"/>
        </w:rPr>
        <w:br w:type="page"/>
      </w:r>
    </w:p>
    <w:p w14:paraId="5F4F4479" w14:textId="77777777" w:rsidR="004211B5" w:rsidRPr="003E7EB4" w:rsidRDefault="004211B5" w:rsidP="004211B5">
      <w:pPr>
        <w:pStyle w:val="1"/>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lastRenderedPageBreak/>
        <w:t>执行概要</w:t>
      </w:r>
    </w:p>
    <w:p w14:paraId="7F02C84B" w14:textId="77777777"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期研发期间安全性更新报告（</w:t>
      </w:r>
      <w:r w:rsidRPr="003E7EB4">
        <w:rPr>
          <w:rFonts w:ascii="Times New Roman" w:eastAsia="宋体" w:hAnsi="Times New Roman" w:cs="Times New Roman"/>
          <w:sz w:val="22"/>
          <w:szCs w:val="24"/>
          <w:lang w:eastAsia="zh-CN"/>
        </w:rPr>
        <w:t>DSUR #2</w:t>
      </w:r>
      <w:r w:rsidRPr="003E7EB4">
        <w:rPr>
          <w:rFonts w:ascii="Times New Roman" w:eastAsia="宋体" w:hAnsi="Times New Roman" w:cs="Times New Roman"/>
          <w:sz w:val="22"/>
          <w:szCs w:val="24"/>
          <w:lang w:eastAsia="zh-CN"/>
        </w:rPr>
        <w:t>），涵盖周期为</w:t>
      </w:r>
      <w:r w:rsidRPr="003E7EB4">
        <w:rPr>
          <w:rFonts w:ascii="Times New Roman" w:eastAsia="宋体" w:hAnsi="Times New Roman" w:cs="Times New Roman"/>
          <w:sz w:val="22"/>
          <w:szCs w:val="24"/>
          <w:lang w:eastAsia="zh-CN"/>
        </w:rPr>
        <w:t>2022</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12</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01</w:t>
      </w:r>
      <w:r w:rsidRPr="003E7EB4">
        <w:rPr>
          <w:rFonts w:ascii="Times New Roman" w:eastAsia="宋体" w:hAnsi="Times New Roman" w:cs="Times New Roman"/>
          <w:sz w:val="22"/>
          <w:szCs w:val="24"/>
          <w:lang w:eastAsia="zh-CN"/>
        </w:rPr>
        <w:t>日至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p>
    <w:p w14:paraId="28CAEC7E" w14:textId="77777777"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为重组人源化抗</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单克隆抗体，属于免疫检查点抑制剂类抗肿瘤药物，拟用于治疗晚期恶性肿瘤，采用静脉输注给药。</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可选择性结合</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，阻断</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与</w:t>
      </w:r>
      <w:r w:rsidRPr="003E7EB4">
        <w:rPr>
          <w:rFonts w:ascii="Times New Roman" w:eastAsia="宋体" w:hAnsi="Times New Roman" w:cs="Times New Roman"/>
          <w:sz w:val="22"/>
          <w:szCs w:val="24"/>
          <w:lang w:eastAsia="zh-CN"/>
        </w:rPr>
        <w:t>PD-1</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CD80</w:t>
      </w:r>
      <w:r w:rsidRPr="003E7EB4">
        <w:rPr>
          <w:rFonts w:ascii="Times New Roman" w:eastAsia="宋体" w:hAnsi="Times New Roman" w:cs="Times New Roman"/>
          <w:sz w:val="22"/>
          <w:szCs w:val="24"/>
          <w:lang w:eastAsia="zh-CN"/>
        </w:rPr>
        <w:t>的相互作用，从而解除肿瘤微环境中</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介导的</w:t>
      </w:r>
      <w:r w:rsidRPr="003E7EB4">
        <w:rPr>
          <w:rFonts w:ascii="Times New Roman" w:eastAsia="宋体" w:hAnsi="Times New Roman" w:cs="Times New Roman"/>
          <w:sz w:val="22"/>
          <w:szCs w:val="24"/>
          <w:lang w:eastAsia="zh-CN"/>
        </w:rPr>
        <w:t>T</w:t>
      </w:r>
      <w:r w:rsidRPr="003E7EB4">
        <w:rPr>
          <w:rFonts w:ascii="Times New Roman" w:eastAsia="宋体" w:hAnsi="Times New Roman" w:cs="Times New Roman"/>
          <w:sz w:val="22"/>
          <w:szCs w:val="24"/>
          <w:lang w:eastAsia="zh-CN"/>
        </w:rPr>
        <w:t>细胞免疫抑制，增强抗肿瘤免疫应答。截至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w:t>
      </w:r>
    </w:p>
    <w:p w14:paraId="0BDF725F" w14:textId="382BAB2E"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期剂量探索及扩展研究（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w:t>
      </w:r>
      <w:r w:rsidR="00F87F85">
        <w:rPr>
          <w:rFonts w:ascii="Times New Roman" w:eastAsia="宋体" w:hAnsi="Times New Roman" w:cs="Times New Roman" w:hint="eastAsia"/>
          <w:sz w:val="22"/>
          <w:szCs w:val="24"/>
          <w:lang w:eastAsia="zh-CN"/>
        </w:rPr>
        <w:t>正在进行中</w:t>
      </w:r>
      <w:r w:rsidRPr="003E7EB4">
        <w:rPr>
          <w:rFonts w:ascii="Times New Roman" w:eastAsia="宋体" w:hAnsi="Times New Roman" w:cs="Times New Roman"/>
          <w:sz w:val="22"/>
          <w:szCs w:val="24"/>
          <w:lang w:eastAsia="zh-CN"/>
        </w:rPr>
        <w:t>，共</w:t>
      </w:r>
      <w:r w:rsidRPr="003E7EB4">
        <w:rPr>
          <w:rFonts w:ascii="Times New Roman" w:eastAsia="宋体" w:hAnsi="Times New Roman" w:cs="Times New Roman"/>
          <w:sz w:val="22"/>
          <w:szCs w:val="24"/>
          <w:lang w:eastAsia="zh-CN"/>
        </w:rPr>
        <w:t xml:space="preserve"> 30 </w:t>
      </w:r>
      <w:r w:rsidRPr="003E7EB4">
        <w:rPr>
          <w:rFonts w:ascii="Times New Roman" w:eastAsia="宋体" w:hAnsi="Times New Roman" w:cs="Times New Roman"/>
          <w:sz w:val="22"/>
          <w:szCs w:val="24"/>
          <w:lang w:eastAsia="zh-CN"/>
        </w:rPr>
        <w:t>例晚期实体瘤试验参与者接受了</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单药治疗（</w:t>
      </w:r>
      <w:r w:rsidRPr="003E7EB4">
        <w:rPr>
          <w:rFonts w:ascii="Times New Roman" w:eastAsia="宋体" w:hAnsi="Times New Roman" w:cs="Times New Roman"/>
          <w:sz w:val="22"/>
          <w:szCs w:val="24"/>
          <w:lang w:eastAsia="zh-CN"/>
        </w:rPr>
        <w:t xml:space="preserve">0.3 mg/kg </w:t>
      </w:r>
      <w:r w:rsidRPr="003E7EB4">
        <w:rPr>
          <w:rFonts w:ascii="Times New Roman" w:eastAsia="宋体" w:hAnsi="Times New Roman" w:cs="Times New Roman"/>
          <w:sz w:val="22"/>
          <w:szCs w:val="24"/>
          <w:lang w:eastAsia="zh-CN"/>
        </w:rPr>
        <w:t>至</w:t>
      </w:r>
      <w:r w:rsidRPr="003E7EB4">
        <w:rPr>
          <w:rFonts w:ascii="Times New Roman" w:eastAsia="宋体" w:hAnsi="Times New Roman" w:cs="Times New Roman"/>
          <w:sz w:val="22"/>
          <w:szCs w:val="24"/>
          <w:lang w:eastAsia="zh-CN"/>
        </w:rPr>
        <w:t xml:space="preserve"> 3 mg/kg Q3W </w:t>
      </w:r>
      <w:r w:rsidRPr="003E7EB4">
        <w:rPr>
          <w:rFonts w:ascii="Times New Roman" w:eastAsia="宋体" w:hAnsi="Times New Roman" w:cs="Times New Roman"/>
          <w:sz w:val="22"/>
          <w:szCs w:val="24"/>
          <w:lang w:eastAsia="zh-CN"/>
        </w:rPr>
        <w:t>剂量组）。试验中未观察到剂量限制性毒性（</w:t>
      </w:r>
      <w:r w:rsidRPr="003E7EB4">
        <w:rPr>
          <w:rFonts w:ascii="Times New Roman" w:eastAsia="宋体" w:hAnsi="Times New Roman" w:cs="Times New Roman"/>
          <w:sz w:val="22"/>
          <w:szCs w:val="24"/>
          <w:lang w:eastAsia="zh-CN"/>
        </w:rPr>
        <w:t>DLT</w:t>
      </w:r>
      <w:r w:rsidRPr="003E7EB4">
        <w:rPr>
          <w:rFonts w:ascii="Times New Roman" w:eastAsia="宋体" w:hAnsi="Times New Roman" w:cs="Times New Roman"/>
          <w:sz w:val="22"/>
          <w:szCs w:val="24"/>
          <w:lang w:eastAsia="zh-CN"/>
        </w:rPr>
        <w:t>），未达到最大耐受剂量（</w:t>
      </w:r>
      <w:r w:rsidRPr="003E7EB4">
        <w:rPr>
          <w:rFonts w:ascii="Times New Roman" w:eastAsia="宋体" w:hAnsi="Times New Roman" w:cs="Times New Roman"/>
          <w:sz w:val="22"/>
          <w:szCs w:val="24"/>
          <w:lang w:eastAsia="zh-CN"/>
        </w:rPr>
        <w:t>MTD</w:t>
      </w:r>
      <w:r w:rsidRPr="003E7EB4">
        <w:rPr>
          <w:rFonts w:ascii="Times New Roman" w:eastAsia="宋体" w:hAnsi="Times New Roman" w:cs="Times New Roman"/>
          <w:sz w:val="22"/>
          <w:szCs w:val="24"/>
          <w:lang w:eastAsia="zh-CN"/>
        </w:rPr>
        <w:t>），且不良反应（</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）发生率未见随剂量升高而增加的趋势。共有</w:t>
      </w:r>
      <w:r w:rsidRPr="003E7EB4">
        <w:rPr>
          <w:rFonts w:ascii="Times New Roman" w:eastAsia="宋体" w:hAnsi="Times New Roman" w:cs="Times New Roman"/>
          <w:sz w:val="22"/>
          <w:szCs w:val="24"/>
          <w:lang w:eastAsia="zh-CN"/>
        </w:rPr>
        <w:t xml:space="preserve"> 24 </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80.0%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 xml:space="preserve"> ADR</w:t>
      </w:r>
      <w:r w:rsidRPr="003E7EB4">
        <w:rPr>
          <w:rFonts w:ascii="Times New Roman" w:eastAsia="宋体" w:hAnsi="Times New Roman" w:cs="Times New Roman"/>
          <w:sz w:val="22"/>
          <w:szCs w:val="24"/>
          <w:lang w:eastAsia="zh-CN"/>
        </w:rPr>
        <w:t>，发生率</w:t>
      </w:r>
      <w:r w:rsidRPr="003E7EB4">
        <w:rPr>
          <w:rFonts w:ascii="Times New Roman" w:eastAsia="宋体" w:hAnsi="Times New Roman" w:cs="Times New Roman"/>
          <w:sz w:val="22"/>
          <w:szCs w:val="24"/>
          <w:lang w:eastAsia="zh-CN"/>
        </w:rPr>
        <w:t>≥10%</w:t>
      </w:r>
      <w:r w:rsidRPr="003E7EB4">
        <w:rPr>
          <w:rFonts w:ascii="Times New Roman" w:eastAsia="宋体" w:hAnsi="Times New Roman" w:cs="Times New Roman"/>
          <w:sz w:val="22"/>
          <w:szCs w:val="24"/>
          <w:lang w:eastAsia="zh-CN"/>
        </w:rPr>
        <w:t>的多为轻中度事件，主要包括乏力、恶心、皮疹、输液相关反应、</w:t>
      </w:r>
      <w:r w:rsidRPr="003E7EB4">
        <w:rPr>
          <w:rFonts w:ascii="Times New Roman" w:eastAsia="宋体" w:hAnsi="Times New Roman" w:cs="Times New Roman"/>
          <w:sz w:val="22"/>
          <w:szCs w:val="24"/>
          <w:lang w:eastAsia="zh-CN"/>
        </w:rPr>
        <w:t xml:space="preserve">ALT </w:t>
      </w:r>
      <w:r w:rsidRPr="003E7EB4">
        <w:rPr>
          <w:rFonts w:ascii="Times New Roman" w:eastAsia="宋体" w:hAnsi="Times New Roman" w:cs="Times New Roman"/>
          <w:sz w:val="22"/>
          <w:szCs w:val="24"/>
          <w:lang w:eastAsia="zh-CN"/>
        </w:rPr>
        <w:t>升高、甲状腺功能减退及腹泻。共有</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16.7%</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例次严重不良事件，其中与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相关的严重不良事件为感染性肺炎</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例和药物诱导的肝损伤</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w:t>
      </w:r>
    </w:p>
    <w:p w14:paraId="16335CC3" w14:textId="7E52E2DE"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本报告周期内，正在进行一项</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期联合治疗研究（</w:t>
      </w:r>
      <w:r w:rsidRPr="003E7EB4">
        <w:rPr>
          <w:rFonts w:ascii="Times New Roman" w:eastAsia="宋体" w:hAnsi="Times New Roman" w:cs="Times New Roman"/>
          <w:sz w:val="22"/>
          <w:szCs w:val="24"/>
          <w:lang w:eastAsia="zh-CN"/>
        </w:rPr>
        <w:t>OOJ-VT8802-002</w:t>
      </w:r>
      <w:r w:rsidRPr="003E7EB4">
        <w:rPr>
          <w:rFonts w:ascii="Times New Roman" w:eastAsia="宋体" w:hAnsi="Times New Roman" w:cs="Times New Roman"/>
          <w:sz w:val="22"/>
          <w:szCs w:val="24"/>
          <w:lang w:eastAsia="zh-CN"/>
        </w:rPr>
        <w:t>），累计入组</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例晚期非鳞状非小细胞肺癌试验参与者（接受</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的</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联合卡铂与培美曲塞治疗）。截至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日，共</w:t>
      </w:r>
      <w:r w:rsidRPr="003E7EB4">
        <w:rPr>
          <w:rFonts w:ascii="Times New Roman" w:eastAsia="宋体" w:hAnsi="Times New Roman" w:cs="Times New Roman"/>
          <w:sz w:val="22"/>
          <w:szCs w:val="24"/>
          <w:lang w:eastAsia="zh-CN"/>
        </w:rPr>
        <w:t>14</w:t>
      </w:r>
      <w:r w:rsidRPr="003E7EB4">
        <w:rPr>
          <w:rFonts w:ascii="Times New Roman" w:eastAsia="宋体" w:hAnsi="Times New Roman" w:cs="Times New Roman"/>
          <w:sz w:val="22"/>
          <w:szCs w:val="24"/>
          <w:lang w:eastAsia="zh-CN"/>
        </w:rPr>
        <w:t>例（</w:t>
      </w:r>
      <w:r w:rsidR="00381974">
        <w:rPr>
          <w:rFonts w:ascii="Times New Roman" w:eastAsia="宋体" w:hAnsi="Times New Roman" w:cs="Times New Roman" w:hint="eastAsia"/>
          <w:sz w:val="22"/>
          <w:szCs w:val="24"/>
          <w:lang w:eastAsia="zh-CN"/>
        </w:rPr>
        <w:t>75.0</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）试验参与者发生不良反应（</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），整体符合各给药方案的已知风险谱。其中，化疗相关的</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主要表现为骨髓抑制（贫血、中性粒细胞</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白细胞减少）及胃肠道反应；与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（共</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40.0%</w:t>
      </w:r>
      <w:r w:rsidRPr="003E7EB4">
        <w:rPr>
          <w:rFonts w:ascii="Times New Roman" w:eastAsia="宋体" w:hAnsi="Times New Roman" w:cs="Times New Roman"/>
          <w:sz w:val="22"/>
          <w:szCs w:val="24"/>
          <w:lang w:eastAsia="zh-CN"/>
        </w:rPr>
        <w:t>）主要为皮疹、输液相关反应、肝</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甲状腺异常及感染性肺炎。共</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例试验参与者发生</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例次严重不良事件（</w:t>
      </w:r>
      <w:r w:rsidRPr="003E7EB4">
        <w:rPr>
          <w:rFonts w:ascii="Times New Roman" w:eastAsia="宋体" w:hAnsi="Times New Roman" w:cs="Times New Roman"/>
          <w:sz w:val="22"/>
          <w:szCs w:val="24"/>
          <w:lang w:eastAsia="zh-CN"/>
        </w:rPr>
        <w:t>SAE</w:t>
      </w:r>
      <w:r w:rsidRPr="003E7EB4">
        <w:rPr>
          <w:rFonts w:ascii="Times New Roman" w:eastAsia="宋体" w:hAnsi="Times New Roman" w:cs="Times New Roman"/>
          <w:sz w:val="22"/>
          <w:szCs w:val="24"/>
          <w:lang w:eastAsia="zh-CN"/>
        </w:rPr>
        <w:t>），包括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例次与化疗相关的中性粒细胞减少症，</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例次与研究药物均无关的房颤，以及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例次判定为与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相关的感染性肺炎（属</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级</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w:t>
      </w:r>
    </w:p>
    <w:p w14:paraId="4B7A6BCC" w14:textId="037C0F1D"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截至本报告期末，</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风险特征依然可接受，未发生因安全性原因导致暂停研究或终止临床开发的情况。初步疗效方面，单药研究（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）展现出抗肿瘤活性（</w:t>
      </w:r>
      <w:r w:rsidRPr="003E7EB4">
        <w:rPr>
          <w:rFonts w:ascii="Times New Roman" w:eastAsia="宋体" w:hAnsi="Times New Roman" w:cs="Times New Roman"/>
          <w:sz w:val="22"/>
          <w:szCs w:val="24"/>
          <w:lang w:eastAsia="zh-CN"/>
        </w:rPr>
        <w:t>ORR 11.5%</w:t>
      </w:r>
      <w:r w:rsidRPr="003E7EB4">
        <w:rPr>
          <w:rFonts w:ascii="Times New Roman" w:eastAsia="宋体" w:hAnsi="Times New Roman" w:cs="Times New Roman"/>
          <w:sz w:val="22"/>
          <w:szCs w:val="24"/>
          <w:lang w:eastAsia="zh-CN"/>
        </w:rPr>
        <w:t>），支持确立</w:t>
      </w:r>
      <w:r w:rsidRPr="003E7EB4">
        <w:rPr>
          <w:rFonts w:ascii="Times New Roman" w:eastAsia="宋体" w:hAnsi="Times New Roman" w:cs="Times New Roman"/>
          <w:sz w:val="22"/>
          <w:szCs w:val="24"/>
          <w:lang w:eastAsia="zh-CN"/>
        </w:rPr>
        <w:t xml:space="preserve"> 3 mg/kg Q3W </w:t>
      </w:r>
      <w:r w:rsidRPr="003E7EB4">
        <w:rPr>
          <w:rFonts w:ascii="Times New Roman" w:eastAsia="宋体" w:hAnsi="Times New Roman" w:cs="Times New Roman"/>
          <w:sz w:val="22"/>
          <w:szCs w:val="24"/>
          <w:lang w:eastAsia="zh-CN"/>
        </w:rPr>
        <w:t>为后续推荐给药方案；联合化疗研究（</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）呈现更优疗效信号（</w:t>
      </w:r>
      <w:r w:rsidRPr="003E7EB4">
        <w:rPr>
          <w:rFonts w:ascii="Times New Roman" w:eastAsia="宋体" w:hAnsi="Times New Roman" w:cs="Times New Roman"/>
          <w:sz w:val="22"/>
          <w:szCs w:val="24"/>
          <w:lang w:eastAsia="zh-CN"/>
        </w:rPr>
        <w:t>ORR 38.9%</w:t>
      </w:r>
      <w:r w:rsidRPr="003E7EB4">
        <w:rPr>
          <w:rFonts w:ascii="Times New Roman" w:eastAsia="宋体" w:hAnsi="Times New Roman" w:cs="Times New Roman"/>
          <w:sz w:val="22"/>
          <w:szCs w:val="24"/>
          <w:lang w:eastAsia="zh-CN"/>
        </w:rPr>
        <w:t>），且未观察到超出背景化疗的不可接受协同毒性。核心安全性进展方面，研究累计报告</w:t>
      </w:r>
      <w:r w:rsidRPr="003E7EB4">
        <w:rPr>
          <w:rFonts w:ascii="Times New Roman" w:eastAsia="宋体" w:hAnsi="Times New Roman" w:cs="Times New Roman"/>
          <w:sz w:val="22"/>
          <w:szCs w:val="24"/>
          <w:lang w:eastAsia="zh-CN"/>
        </w:rPr>
        <w:t xml:space="preserve"> 4 </w:t>
      </w:r>
      <w:r w:rsidRPr="003E7EB4">
        <w:rPr>
          <w:rFonts w:ascii="Times New Roman" w:eastAsia="宋体" w:hAnsi="Times New Roman" w:cs="Times New Roman"/>
          <w:sz w:val="22"/>
          <w:szCs w:val="24"/>
          <w:lang w:eastAsia="zh-CN"/>
        </w:rPr>
        <w:t>例次与</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相关的疑似非预期严重不良反应（</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例次感染性肺炎及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例次药物诱导的肝损伤）。基于此，申办者拟将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感染性肺炎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药物诱导的肝损伤</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确认为重要已识别风险，并作为预期严重不良反应纳入后续更新的安全性参考信息（</w:t>
      </w:r>
      <w:r w:rsidRPr="003E7EB4">
        <w:rPr>
          <w:rFonts w:ascii="Times New Roman" w:eastAsia="宋体" w:hAnsi="Times New Roman" w:cs="Times New Roman"/>
          <w:sz w:val="22"/>
          <w:szCs w:val="24"/>
          <w:lang w:eastAsia="zh-CN"/>
        </w:rPr>
        <w:t>RS</w:t>
      </w:r>
      <w:r w:rsidR="0041690C"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）中。其他已观察到的不良事件（如腹泻、皮疹及化疗相关骨髓抑制等），后续将在临床研究中维持常规监测。</w:t>
      </w:r>
    </w:p>
    <w:p w14:paraId="4B6E3E0D" w14:textId="77777777" w:rsidR="004211B5" w:rsidRPr="00CA09A6" w:rsidRDefault="004211B5" w:rsidP="00C25E0D">
      <w:pPr>
        <w:jc w:val="both"/>
        <w:rPr>
          <w:rFonts w:ascii="Times New Roman" w:eastAsia="宋体" w:hAnsi="Times New Roman" w:cs="Times New Roman"/>
          <w:lang w:eastAsia="zh-CN"/>
        </w:rPr>
      </w:pPr>
    </w:p>
    <w:p w14:paraId="61AFA076" w14:textId="77777777" w:rsidR="004211B5" w:rsidRPr="00CA09A6" w:rsidRDefault="004211B5" w:rsidP="00C25E0D">
      <w:pPr>
        <w:jc w:val="both"/>
        <w:rPr>
          <w:rFonts w:ascii="Times New Roman" w:eastAsia="宋体" w:hAnsi="Times New Roman" w:cs="Times New Roman"/>
          <w:lang w:eastAsia="zh-CN"/>
        </w:rPr>
      </w:pPr>
    </w:p>
    <w:p w14:paraId="18E45531" w14:textId="77777777" w:rsidR="00946940" w:rsidRPr="003E7EB4" w:rsidRDefault="00000000">
      <w:pPr>
        <w:pStyle w:val="TOC"/>
        <w:jc w:val="center"/>
        <w:rPr>
          <w:rFonts w:ascii="Times New Roman" w:eastAsia="宋体" w:hAnsi="Times New Roman" w:cs="Times New Roman"/>
          <w:sz w:val="28"/>
          <w:szCs w:val="21"/>
          <w:lang w:eastAsia="zh-CN"/>
        </w:rPr>
      </w:pPr>
      <w:r w:rsidRPr="003E7EB4">
        <w:rPr>
          <w:rFonts w:ascii="Times New Roman" w:eastAsia="宋体" w:hAnsi="Times New Roman" w:cs="Times New Roman"/>
          <w:sz w:val="28"/>
          <w:szCs w:val="21"/>
          <w:lang w:eastAsia="zh-CN"/>
        </w:rPr>
        <w:lastRenderedPageBreak/>
        <w:t>目录</w:t>
      </w:r>
    </w:p>
    <w:p w14:paraId="73EC72C1"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w:t>
      </w:r>
      <w:r w:rsidRPr="00CA09A6">
        <w:rPr>
          <w:rFonts w:ascii="Times New Roman" w:eastAsia="宋体" w:hAnsi="Times New Roman" w:cs="Times New Roman"/>
          <w:lang w:eastAsia="zh-CN"/>
        </w:rPr>
        <w:t>前言</w:t>
      </w:r>
      <w:r w:rsidRPr="00CA09A6">
        <w:rPr>
          <w:rFonts w:ascii="Times New Roman" w:eastAsia="宋体" w:hAnsi="Times New Roman" w:cs="Times New Roman"/>
          <w:lang w:eastAsia="zh-CN"/>
        </w:rPr>
        <w:tab/>
        <w:t>4</w:t>
      </w:r>
    </w:p>
    <w:p w14:paraId="50FB58B6"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2.</w:t>
      </w:r>
      <w:r w:rsidRPr="00CA09A6">
        <w:rPr>
          <w:rFonts w:ascii="Times New Roman" w:eastAsia="宋体" w:hAnsi="Times New Roman" w:cs="Times New Roman"/>
          <w:lang w:eastAsia="zh-CN"/>
        </w:rPr>
        <w:t>全球上市批准状态</w:t>
      </w:r>
      <w:r w:rsidRPr="00CA09A6">
        <w:rPr>
          <w:rFonts w:ascii="Times New Roman" w:eastAsia="宋体" w:hAnsi="Times New Roman" w:cs="Times New Roman"/>
          <w:lang w:eastAsia="zh-CN"/>
        </w:rPr>
        <w:tab/>
        <w:t>4</w:t>
      </w:r>
    </w:p>
    <w:p w14:paraId="55872F08"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3.</w:t>
      </w:r>
      <w:r w:rsidRPr="00CA09A6">
        <w:rPr>
          <w:rFonts w:ascii="Times New Roman" w:eastAsia="宋体" w:hAnsi="Times New Roman" w:cs="Times New Roman"/>
          <w:lang w:eastAsia="zh-CN"/>
        </w:rPr>
        <w:t>报告周期内因安全性原因而采取的措施</w:t>
      </w:r>
      <w:r w:rsidRPr="00CA09A6">
        <w:rPr>
          <w:rFonts w:ascii="Times New Roman" w:eastAsia="宋体" w:hAnsi="Times New Roman" w:cs="Times New Roman"/>
          <w:lang w:eastAsia="zh-CN"/>
        </w:rPr>
        <w:tab/>
        <w:t>5</w:t>
      </w:r>
    </w:p>
    <w:p w14:paraId="3E243BD8"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4.</w:t>
      </w:r>
      <w:r w:rsidRPr="00CA09A6">
        <w:rPr>
          <w:rFonts w:ascii="Times New Roman" w:eastAsia="宋体" w:hAnsi="Times New Roman" w:cs="Times New Roman"/>
          <w:lang w:eastAsia="zh-CN"/>
        </w:rPr>
        <w:t>安全性参考信息变更</w:t>
      </w:r>
      <w:r w:rsidRPr="00CA09A6">
        <w:rPr>
          <w:rFonts w:ascii="Times New Roman" w:eastAsia="宋体" w:hAnsi="Times New Roman" w:cs="Times New Roman"/>
          <w:lang w:eastAsia="zh-CN"/>
        </w:rPr>
        <w:tab/>
        <w:t>5</w:t>
      </w:r>
    </w:p>
    <w:p w14:paraId="0F18A391"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5.</w:t>
      </w:r>
      <w:r w:rsidRPr="00CA09A6">
        <w:rPr>
          <w:rFonts w:ascii="Times New Roman" w:eastAsia="宋体" w:hAnsi="Times New Roman" w:cs="Times New Roman"/>
          <w:lang w:eastAsia="zh-CN"/>
        </w:rPr>
        <w:t>报告周期内正在进行和已完成的临床试验清单</w:t>
      </w:r>
      <w:r w:rsidRPr="00CA09A6">
        <w:rPr>
          <w:rFonts w:ascii="Times New Roman" w:eastAsia="宋体" w:hAnsi="Times New Roman" w:cs="Times New Roman"/>
          <w:lang w:eastAsia="zh-CN"/>
        </w:rPr>
        <w:tab/>
        <w:t>6</w:t>
      </w:r>
    </w:p>
    <w:p w14:paraId="3F4799D6"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6.</w:t>
      </w:r>
      <w:r w:rsidRPr="00CA09A6">
        <w:rPr>
          <w:rFonts w:ascii="Times New Roman" w:eastAsia="宋体" w:hAnsi="Times New Roman" w:cs="Times New Roman"/>
          <w:lang w:eastAsia="zh-CN"/>
        </w:rPr>
        <w:t>估计的累计暴露量</w:t>
      </w:r>
      <w:r w:rsidRPr="00CA09A6">
        <w:rPr>
          <w:rFonts w:ascii="Times New Roman" w:eastAsia="宋体" w:hAnsi="Times New Roman" w:cs="Times New Roman"/>
          <w:lang w:eastAsia="zh-CN"/>
        </w:rPr>
        <w:tab/>
        <w:t>6</w:t>
      </w:r>
    </w:p>
    <w:p w14:paraId="38E58E5E"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6.1 </w:t>
      </w:r>
      <w:r w:rsidRPr="00CA09A6">
        <w:rPr>
          <w:rFonts w:ascii="Times New Roman" w:eastAsia="宋体" w:hAnsi="Times New Roman" w:cs="Times New Roman"/>
          <w:lang w:eastAsia="zh-CN"/>
        </w:rPr>
        <w:t>研发项目中的累计试验参与者暴露量</w:t>
      </w:r>
      <w:r w:rsidRPr="00CA09A6">
        <w:rPr>
          <w:rFonts w:ascii="Times New Roman" w:eastAsia="宋体" w:hAnsi="Times New Roman" w:cs="Times New Roman"/>
          <w:lang w:eastAsia="zh-CN"/>
        </w:rPr>
        <w:tab/>
        <w:t>6</w:t>
      </w:r>
    </w:p>
    <w:p w14:paraId="59938E01"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6.2 </w:t>
      </w:r>
      <w:r w:rsidRPr="00CA09A6">
        <w:rPr>
          <w:rFonts w:ascii="Times New Roman" w:eastAsia="宋体" w:hAnsi="Times New Roman" w:cs="Times New Roman"/>
          <w:lang w:eastAsia="zh-CN"/>
        </w:rPr>
        <w:t>上市后用药经验中的患者暴露量</w:t>
      </w:r>
      <w:r w:rsidRPr="00CA09A6">
        <w:rPr>
          <w:rFonts w:ascii="Times New Roman" w:eastAsia="宋体" w:hAnsi="Times New Roman" w:cs="Times New Roman"/>
          <w:lang w:eastAsia="zh-CN"/>
        </w:rPr>
        <w:tab/>
        <w:t>6</w:t>
      </w:r>
    </w:p>
    <w:p w14:paraId="0CBB9EBF"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7.</w:t>
      </w:r>
      <w:r w:rsidRPr="00CA09A6">
        <w:rPr>
          <w:rFonts w:ascii="Times New Roman" w:eastAsia="宋体" w:hAnsi="Times New Roman" w:cs="Times New Roman"/>
          <w:lang w:eastAsia="zh-CN"/>
        </w:rPr>
        <w:t>行列表和汇总表中的数据</w:t>
      </w:r>
      <w:r w:rsidRPr="00CA09A6">
        <w:rPr>
          <w:rFonts w:ascii="Times New Roman" w:eastAsia="宋体" w:hAnsi="Times New Roman" w:cs="Times New Roman"/>
          <w:lang w:eastAsia="zh-CN"/>
        </w:rPr>
        <w:tab/>
        <w:t>7</w:t>
      </w:r>
    </w:p>
    <w:p w14:paraId="14C5CBD3"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7.1 </w:t>
      </w:r>
      <w:r w:rsidRPr="00CA09A6">
        <w:rPr>
          <w:rFonts w:ascii="Times New Roman" w:eastAsia="宋体" w:hAnsi="Times New Roman" w:cs="Times New Roman"/>
          <w:lang w:eastAsia="zh-CN"/>
        </w:rPr>
        <w:t>参考信息</w:t>
      </w:r>
      <w:r w:rsidRPr="00CA09A6">
        <w:rPr>
          <w:rFonts w:ascii="Times New Roman" w:eastAsia="宋体" w:hAnsi="Times New Roman" w:cs="Times New Roman"/>
          <w:lang w:eastAsia="zh-CN"/>
        </w:rPr>
        <w:tab/>
        <w:t>7</w:t>
      </w:r>
    </w:p>
    <w:p w14:paraId="0329073E"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7.2 </w:t>
      </w:r>
      <w:r w:rsidRPr="00CA09A6">
        <w:rPr>
          <w:rFonts w:ascii="Times New Roman" w:eastAsia="宋体" w:hAnsi="Times New Roman" w:cs="Times New Roman"/>
          <w:lang w:eastAsia="zh-CN"/>
        </w:rPr>
        <w:t>报告周期内的严重不良反应行列表</w:t>
      </w:r>
      <w:r w:rsidRPr="00CA09A6">
        <w:rPr>
          <w:rFonts w:ascii="Times New Roman" w:eastAsia="宋体" w:hAnsi="Times New Roman" w:cs="Times New Roman"/>
          <w:lang w:eastAsia="zh-CN"/>
        </w:rPr>
        <w:tab/>
        <w:t>7</w:t>
      </w:r>
    </w:p>
    <w:p w14:paraId="580781BB"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7.3 </w:t>
      </w:r>
      <w:r w:rsidRPr="00CA09A6">
        <w:rPr>
          <w:rFonts w:ascii="Times New Roman" w:eastAsia="宋体" w:hAnsi="Times New Roman" w:cs="Times New Roman"/>
          <w:lang w:eastAsia="zh-CN"/>
        </w:rPr>
        <w:t>严重不良事件的累计汇总表</w:t>
      </w:r>
      <w:r w:rsidRPr="00CA09A6">
        <w:rPr>
          <w:rFonts w:ascii="Times New Roman" w:eastAsia="宋体" w:hAnsi="Times New Roman" w:cs="Times New Roman"/>
          <w:lang w:eastAsia="zh-CN"/>
        </w:rPr>
        <w:tab/>
        <w:t>7</w:t>
      </w:r>
    </w:p>
    <w:p w14:paraId="3308C338"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8.</w:t>
      </w:r>
      <w:r w:rsidRPr="00CA09A6">
        <w:rPr>
          <w:rFonts w:ascii="Times New Roman" w:eastAsia="宋体" w:hAnsi="Times New Roman" w:cs="Times New Roman"/>
          <w:lang w:eastAsia="zh-CN"/>
        </w:rPr>
        <w:t>报告期内临床试验中有意义的发现</w:t>
      </w:r>
      <w:r w:rsidRPr="00CA09A6">
        <w:rPr>
          <w:rFonts w:ascii="Times New Roman" w:eastAsia="宋体" w:hAnsi="Times New Roman" w:cs="Times New Roman"/>
          <w:lang w:eastAsia="zh-CN"/>
        </w:rPr>
        <w:tab/>
        <w:t>7</w:t>
      </w:r>
    </w:p>
    <w:p w14:paraId="7236157B"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8.1 </w:t>
      </w:r>
      <w:r w:rsidRPr="00CA09A6">
        <w:rPr>
          <w:rFonts w:ascii="Times New Roman" w:eastAsia="宋体" w:hAnsi="Times New Roman" w:cs="Times New Roman"/>
          <w:lang w:eastAsia="zh-CN"/>
        </w:rPr>
        <w:t>已完成的临床试验</w:t>
      </w:r>
      <w:r w:rsidRPr="00CA09A6">
        <w:rPr>
          <w:rFonts w:ascii="Times New Roman" w:eastAsia="宋体" w:hAnsi="Times New Roman" w:cs="Times New Roman"/>
          <w:lang w:eastAsia="zh-CN"/>
        </w:rPr>
        <w:tab/>
        <w:t>7</w:t>
      </w:r>
    </w:p>
    <w:p w14:paraId="1FE2FD3B"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8.2 </w:t>
      </w:r>
      <w:r w:rsidRPr="00CA09A6">
        <w:rPr>
          <w:rFonts w:ascii="Times New Roman" w:eastAsia="宋体" w:hAnsi="Times New Roman" w:cs="Times New Roman"/>
          <w:lang w:eastAsia="zh-CN"/>
        </w:rPr>
        <w:t>正在进行的临床试验</w:t>
      </w:r>
      <w:r w:rsidRPr="00CA09A6">
        <w:rPr>
          <w:rFonts w:ascii="Times New Roman" w:eastAsia="宋体" w:hAnsi="Times New Roman" w:cs="Times New Roman"/>
          <w:lang w:eastAsia="zh-CN"/>
        </w:rPr>
        <w:tab/>
        <w:t>8</w:t>
      </w:r>
    </w:p>
    <w:p w14:paraId="6219897D"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8.3 </w:t>
      </w:r>
      <w:r w:rsidRPr="00CA09A6">
        <w:rPr>
          <w:rFonts w:ascii="Times New Roman" w:eastAsia="宋体" w:hAnsi="Times New Roman" w:cs="Times New Roman"/>
          <w:lang w:eastAsia="zh-CN"/>
        </w:rPr>
        <w:t>长期随访</w:t>
      </w:r>
      <w:r w:rsidRPr="00CA09A6">
        <w:rPr>
          <w:rFonts w:ascii="Times New Roman" w:eastAsia="宋体" w:hAnsi="Times New Roman" w:cs="Times New Roman"/>
          <w:lang w:eastAsia="zh-CN"/>
        </w:rPr>
        <w:tab/>
        <w:t>9</w:t>
      </w:r>
    </w:p>
    <w:p w14:paraId="08BC5E13"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8.4 </w:t>
      </w:r>
      <w:r w:rsidRPr="00CA09A6">
        <w:rPr>
          <w:rFonts w:ascii="Times New Roman" w:eastAsia="宋体" w:hAnsi="Times New Roman" w:cs="Times New Roman"/>
          <w:lang w:eastAsia="zh-CN"/>
        </w:rPr>
        <w:t>研究药物的其他治疗应用</w:t>
      </w:r>
      <w:r w:rsidRPr="00CA09A6">
        <w:rPr>
          <w:rFonts w:ascii="Times New Roman" w:eastAsia="宋体" w:hAnsi="Times New Roman" w:cs="Times New Roman"/>
          <w:lang w:eastAsia="zh-CN"/>
        </w:rPr>
        <w:tab/>
        <w:t>9</w:t>
      </w:r>
    </w:p>
    <w:p w14:paraId="3D71B454"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8.5 </w:t>
      </w:r>
      <w:r w:rsidRPr="00CA09A6">
        <w:rPr>
          <w:rFonts w:ascii="Times New Roman" w:eastAsia="宋体" w:hAnsi="Times New Roman" w:cs="Times New Roman"/>
          <w:lang w:eastAsia="zh-CN"/>
        </w:rPr>
        <w:t>与联合治疗相关的新的安全性数据</w:t>
      </w:r>
      <w:r w:rsidRPr="00CA09A6">
        <w:rPr>
          <w:rFonts w:ascii="Times New Roman" w:eastAsia="宋体" w:hAnsi="Times New Roman" w:cs="Times New Roman"/>
          <w:lang w:eastAsia="zh-CN"/>
        </w:rPr>
        <w:tab/>
        <w:t>9</w:t>
      </w:r>
    </w:p>
    <w:p w14:paraId="4E1FC18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9.</w:t>
      </w:r>
      <w:r w:rsidRPr="00CA09A6">
        <w:rPr>
          <w:rFonts w:ascii="Times New Roman" w:eastAsia="宋体" w:hAnsi="Times New Roman" w:cs="Times New Roman"/>
          <w:lang w:eastAsia="zh-CN"/>
        </w:rPr>
        <w:t>非干预性研究的安全性结果</w:t>
      </w:r>
      <w:r w:rsidRPr="00CA09A6">
        <w:rPr>
          <w:rFonts w:ascii="Times New Roman" w:eastAsia="宋体" w:hAnsi="Times New Roman" w:cs="Times New Roman"/>
          <w:lang w:eastAsia="zh-CN"/>
        </w:rPr>
        <w:tab/>
        <w:t>9</w:t>
      </w:r>
    </w:p>
    <w:p w14:paraId="3350F931"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10.</w:t>
      </w:r>
      <w:r w:rsidRPr="00CA09A6">
        <w:rPr>
          <w:rFonts w:ascii="Times New Roman" w:eastAsia="宋体" w:hAnsi="Times New Roman" w:cs="Times New Roman"/>
          <w:lang w:eastAsia="zh-CN"/>
        </w:rPr>
        <w:t>其他临床试验</w:t>
      </w:r>
      <w:r w:rsidRPr="00CA09A6">
        <w:rPr>
          <w:rFonts w:ascii="Times New Roman" w:eastAsia="宋体" w:hAnsi="Times New Roman" w:cs="Times New Roman"/>
          <w:lang w:eastAsia="zh-CN"/>
        </w:rPr>
        <w:t>/</w:t>
      </w:r>
      <w:r w:rsidRPr="00CA09A6">
        <w:rPr>
          <w:rFonts w:ascii="Times New Roman" w:eastAsia="宋体" w:hAnsi="Times New Roman" w:cs="Times New Roman"/>
          <w:lang w:eastAsia="zh-CN"/>
        </w:rPr>
        <w:t>研究的安全性信息</w:t>
      </w:r>
      <w:r w:rsidRPr="00CA09A6">
        <w:rPr>
          <w:rFonts w:ascii="Times New Roman" w:eastAsia="宋体" w:hAnsi="Times New Roman" w:cs="Times New Roman"/>
          <w:lang w:eastAsia="zh-CN"/>
        </w:rPr>
        <w:tab/>
        <w:t>9</w:t>
      </w:r>
    </w:p>
    <w:p w14:paraId="4474A4C4"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11.</w:t>
      </w:r>
      <w:r w:rsidRPr="00CA09A6">
        <w:rPr>
          <w:rFonts w:ascii="Times New Roman" w:eastAsia="宋体" w:hAnsi="Times New Roman" w:cs="Times New Roman"/>
          <w:lang w:eastAsia="zh-CN"/>
        </w:rPr>
        <w:t>上市后的安全性发现</w:t>
      </w:r>
      <w:r w:rsidRPr="00CA09A6">
        <w:rPr>
          <w:rFonts w:ascii="Times New Roman" w:eastAsia="宋体" w:hAnsi="Times New Roman" w:cs="Times New Roman"/>
          <w:lang w:eastAsia="zh-CN"/>
        </w:rPr>
        <w:tab/>
        <w:t>10</w:t>
      </w:r>
    </w:p>
    <w:p w14:paraId="49E1D67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12.</w:t>
      </w:r>
      <w:r w:rsidRPr="00CA09A6">
        <w:rPr>
          <w:rFonts w:ascii="Times New Roman" w:eastAsia="宋体" w:hAnsi="Times New Roman" w:cs="Times New Roman"/>
          <w:lang w:eastAsia="zh-CN"/>
        </w:rPr>
        <w:t>非临床数据</w:t>
      </w:r>
      <w:r w:rsidRPr="00CA09A6">
        <w:rPr>
          <w:rFonts w:ascii="Times New Roman" w:eastAsia="宋体" w:hAnsi="Times New Roman" w:cs="Times New Roman"/>
          <w:lang w:eastAsia="zh-CN"/>
        </w:rPr>
        <w:tab/>
        <w:t>10</w:t>
      </w:r>
    </w:p>
    <w:p w14:paraId="77EE205F"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13.</w:t>
      </w:r>
      <w:r w:rsidRPr="00CA09A6">
        <w:rPr>
          <w:rFonts w:ascii="Times New Roman" w:eastAsia="宋体" w:hAnsi="Times New Roman" w:cs="Times New Roman"/>
          <w:lang w:eastAsia="zh-CN"/>
        </w:rPr>
        <w:t>文献</w:t>
      </w:r>
      <w:r w:rsidRPr="00CA09A6">
        <w:rPr>
          <w:rFonts w:ascii="Times New Roman" w:eastAsia="宋体" w:hAnsi="Times New Roman" w:cs="Times New Roman"/>
          <w:lang w:eastAsia="zh-CN"/>
        </w:rPr>
        <w:tab/>
        <w:t>10</w:t>
      </w:r>
    </w:p>
    <w:p w14:paraId="055CC7BD"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14.</w:t>
      </w:r>
      <w:r w:rsidRPr="00CA09A6">
        <w:rPr>
          <w:rFonts w:ascii="Times New Roman" w:eastAsia="宋体" w:hAnsi="Times New Roman" w:cs="Times New Roman"/>
          <w:lang w:eastAsia="zh-CN"/>
        </w:rPr>
        <w:t>其他</w:t>
      </w:r>
      <w:r w:rsidRPr="00CA09A6">
        <w:rPr>
          <w:rFonts w:ascii="Times New Roman" w:eastAsia="宋体" w:hAnsi="Times New Roman" w:cs="Times New Roman"/>
          <w:lang w:eastAsia="zh-CN"/>
        </w:rPr>
        <w:t>DSUR</w:t>
      </w:r>
      <w:r w:rsidRPr="00CA09A6">
        <w:rPr>
          <w:rFonts w:ascii="Times New Roman" w:eastAsia="宋体" w:hAnsi="Times New Roman" w:cs="Times New Roman"/>
          <w:lang w:eastAsia="zh-CN"/>
        </w:rPr>
        <w:tab/>
        <w:t>10</w:t>
      </w:r>
    </w:p>
    <w:p w14:paraId="53674E70"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15.</w:t>
      </w:r>
      <w:r w:rsidRPr="00CA09A6">
        <w:rPr>
          <w:rFonts w:ascii="Times New Roman" w:eastAsia="宋体" w:hAnsi="Times New Roman" w:cs="Times New Roman"/>
          <w:lang w:eastAsia="zh-CN"/>
        </w:rPr>
        <w:t>缺乏疗效</w:t>
      </w:r>
      <w:r w:rsidRPr="00CA09A6">
        <w:rPr>
          <w:rFonts w:ascii="Times New Roman" w:eastAsia="宋体" w:hAnsi="Times New Roman" w:cs="Times New Roman"/>
          <w:lang w:eastAsia="zh-CN"/>
        </w:rPr>
        <w:tab/>
        <w:t>10</w:t>
      </w:r>
    </w:p>
    <w:p w14:paraId="3D39020B"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16.</w:t>
      </w:r>
      <w:r w:rsidRPr="00CA09A6">
        <w:rPr>
          <w:rFonts w:ascii="Times New Roman" w:eastAsia="宋体" w:hAnsi="Times New Roman" w:cs="Times New Roman"/>
          <w:lang w:eastAsia="zh-CN"/>
        </w:rPr>
        <w:t>区域特有信息</w:t>
      </w:r>
      <w:r w:rsidRPr="00CA09A6">
        <w:rPr>
          <w:rFonts w:ascii="Times New Roman" w:eastAsia="宋体" w:hAnsi="Times New Roman" w:cs="Times New Roman"/>
          <w:lang w:eastAsia="zh-CN"/>
        </w:rPr>
        <w:tab/>
        <w:t>11</w:t>
      </w:r>
    </w:p>
    <w:p w14:paraId="4F10344A"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17.</w:t>
      </w:r>
      <w:r w:rsidRPr="00CA09A6">
        <w:rPr>
          <w:rFonts w:ascii="Times New Roman" w:eastAsia="宋体" w:hAnsi="Times New Roman" w:cs="Times New Roman"/>
          <w:lang w:eastAsia="zh-CN"/>
        </w:rPr>
        <w:t>最新信息</w:t>
      </w:r>
      <w:r w:rsidRPr="00CA09A6">
        <w:rPr>
          <w:rFonts w:ascii="Times New Roman" w:eastAsia="宋体" w:hAnsi="Times New Roman" w:cs="Times New Roman"/>
          <w:lang w:eastAsia="zh-CN"/>
        </w:rPr>
        <w:tab/>
        <w:t>11</w:t>
      </w:r>
    </w:p>
    <w:p w14:paraId="3BB2E1F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18.</w:t>
      </w:r>
      <w:r w:rsidRPr="00CA09A6">
        <w:rPr>
          <w:rFonts w:ascii="Times New Roman" w:eastAsia="宋体" w:hAnsi="Times New Roman" w:cs="Times New Roman"/>
          <w:lang w:eastAsia="zh-CN"/>
        </w:rPr>
        <w:t>整体安全性评估</w:t>
      </w:r>
      <w:r w:rsidRPr="00CA09A6">
        <w:rPr>
          <w:rFonts w:ascii="Times New Roman" w:eastAsia="宋体" w:hAnsi="Times New Roman" w:cs="Times New Roman"/>
          <w:lang w:eastAsia="zh-CN"/>
        </w:rPr>
        <w:tab/>
        <w:t>12</w:t>
      </w:r>
    </w:p>
    <w:p w14:paraId="589457FD"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18.1 </w:t>
      </w:r>
      <w:r w:rsidRPr="00CA09A6">
        <w:rPr>
          <w:rFonts w:ascii="Times New Roman" w:eastAsia="宋体" w:hAnsi="Times New Roman" w:cs="Times New Roman"/>
          <w:lang w:eastAsia="zh-CN"/>
        </w:rPr>
        <w:t>风险评估</w:t>
      </w:r>
      <w:r w:rsidRPr="00CA09A6">
        <w:rPr>
          <w:rFonts w:ascii="Times New Roman" w:eastAsia="宋体" w:hAnsi="Times New Roman" w:cs="Times New Roman"/>
          <w:lang w:eastAsia="zh-CN"/>
        </w:rPr>
        <w:tab/>
        <w:t>12</w:t>
      </w:r>
    </w:p>
    <w:p w14:paraId="4E005DC6"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18.2 </w:t>
      </w:r>
      <w:r w:rsidRPr="00CA09A6">
        <w:rPr>
          <w:rFonts w:ascii="Times New Roman" w:eastAsia="宋体" w:hAnsi="Times New Roman" w:cs="Times New Roman"/>
          <w:lang w:eastAsia="zh-CN"/>
        </w:rPr>
        <w:t>获益</w:t>
      </w:r>
      <w:r w:rsidRPr="00CA09A6">
        <w:rPr>
          <w:rFonts w:ascii="Times New Roman" w:eastAsia="宋体" w:hAnsi="Times New Roman" w:cs="Times New Roman"/>
          <w:lang w:eastAsia="zh-CN"/>
        </w:rPr>
        <w:t>-</w:t>
      </w:r>
      <w:r w:rsidRPr="00CA09A6">
        <w:rPr>
          <w:rFonts w:ascii="Times New Roman" w:eastAsia="宋体" w:hAnsi="Times New Roman" w:cs="Times New Roman"/>
          <w:lang w:eastAsia="zh-CN"/>
        </w:rPr>
        <w:t>风险考量</w:t>
      </w:r>
      <w:r w:rsidRPr="00CA09A6">
        <w:rPr>
          <w:rFonts w:ascii="Times New Roman" w:eastAsia="宋体" w:hAnsi="Times New Roman" w:cs="Times New Roman"/>
          <w:lang w:eastAsia="zh-CN"/>
        </w:rPr>
        <w:tab/>
        <w:t>13</w:t>
      </w:r>
    </w:p>
    <w:p w14:paraId="7F1A5F19" w14:textId="16993FBE"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19.</w:t>
      </w:r>
      <w:r w:rsidRPr="00CA09A6">
        <w:rPr>
          <w:rFonts w:ascii="Times New Roman" w:eastAsia="宋体" w:hAnsi="Times New Roman" w:cs="Times New Roman"/>
          <w:lang w:eastAsia="zh-CN"/>
        </w:rPr>
        <w:t>重</w:t>
      </w:r>
      <w:r w:rsidR="0043498C">
        <w:rPr>
          <w:rFonts w:ascii="Times New Roman" w:eastAsia="宋体" w:hAnsi="Times New Roman" w:cs="Times New Roman" w:hint="eastAsia"/>
          <w:lang w:eastAsia="zh-CN"/>
        </w:rPr>
        <w:t>点</w:t>
      </w:r>
      <w:r w:rsidRPr="00CA09A6">
        <w:rPr>
          <w:rFonts w:ascii="Times New Roman" w:eastAsia="宋体" w:hAnsi="Times New Roman" w:cs="Times New Roman"/>
          <w:lang w:eastAsia="zh-CN"/>
        </w:rPr>
        <w:t>风险总结</w:t>
      </w:r>
      <w:r w:rsidRPr="00CA09A6">
        <w:rPr>
          <w:rFonts w:ascii="Times New Roman" w:eastAsia="宋体" w:hAnsi="Times New Roman" w:cs="Times New Roman"/>
          <w:lang w:eastAsia="zh-CN"/>
        </w:rPr>
        <w:tab/>
        <w:t>13</w:t>
      </w:r>
    </w:p>
    <w:p w14:paraId="31BF510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20.</w:t>
      </w:r>
      <w:r w:rsidRPr="00CA09A6">
        <w:rPr>
          <w:rFonts w:ascii="Times New Roman" w:eastAsia="宋体" w:hAnsi="Times New Roman" w:cs="Times New Roman"/>
          <w:lang w:eastAsia="zh-CN"/>
        </w:rPr>
        <w:t>结论</w:t>
      </w:r>
      <w:r w:rsidRPr="00CA09A6">
        <w:rPr>
          <w:rFonts w:ascii="Times New Roman" w:eastAsia="宋体" w:hAnsi="Times New Roman" w:cs="Times New Roman"/>
          <w:lang w:eastAsia="zh-CN"/>
        </w:rPr>
        <w:tab/>
        <w:t>14</w:t>
      </w:r>
    </w:p>
    <w:p w14:paraId="139502B8" w14:textId="77777777" w:rsidR="00946940" w:rsidRPr="00CA09A6" w:rsidRDefault="00000000">
      <w:pPr>
        <w:rPr>
          <w:rFonts w:ascii="Times New Roman" w:eastAsia="宋体" w:hAnsi="Times New Roman" w:cs="Times New Roman"/>
          <w:lang w:eastAsia="zh-CN"/>
        </w:rPr>
      </w:pPr>
      <w:r w:rsidRPr="00CA09A6">
        <w:rPr>
          <w:rFonts w:ascii="Times New Roman" w:eastAsia="宋体" w:hAnsi="Times New Roman" w:cs="Times New Roman"/>
          <w:lang w:eastAsia="zh-CN"/>
        </w:rPr>
        <w:br w:type="page"/>
      </w:r>
    </w:p>
    <w:p w14:paraId="391EE282" w14:textId="77777777" w:rsidR="00946940" w:rsidRPr="003E7EB4" w:rsidRDefault="00000000">
      <w:pPr>
        <w:pStyle w:val="1"/>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lastRenderedPageBreak/>
        <w:t>1.</w:t>
      </w:r>
      <w:r w:rsidRPr="003E7EB4">
        <w:rPr>
          <w:rFonts w:ascii="Times New Roman" w:eastAsia="宋体" w:hAnsi="Times New Roman" w:cs="Times New Roman"/>
          <w:sz w:val="28"/>
          <w:szCs w:val="24"/>
          <w:lang w:eastAsia="zh-CN"/>
        </w:rPr>
        <w:t>前言</w:t>
      </w:r>
    </w:p>
    <w:p w14:paraId="70E463F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期研发期间安全性更新报告，涵盖周期为</w:t>
      </w:r>
      <w:r w:rsidRPr="003E7EB4">
        <w:rPr>
          <w:rFonts w:ascii="Times New Roman" w:eastAsia="宋体" w:hAnsi="Times New Roman" w:cs="Times New Roman"/>
          <w:sz w:val="22"/>
          <w:szCs w:val="24"/>
          <w:lang w:eastAsia="zh-CN"/>
        </w:rPr>
        <w:t>2022</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12</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01</w:t>
      </w:r>
      <w:r w:rsidRPr="003E7EB4">
        <w:rPr>
          <w:rFonts w:ascii="Times New Roman" w:eastAsia="宋体" w:hAnsi="Times New Roman" w:cs="Times New Roman"/>
          <w:sz w:val="22"/>
          <w:szCs w:val="24"/>
          <w:lang w:eastAsia="zh-CN"/>
        </w:rPr>
        <w:t>日至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p>
    <w:p w14:paraId="04DC43F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为重组人源化抗</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单克隆抗体，属于免疫检查点抑制剂类抗肿瘤药物，拟用于晚期恶性肿瘤的治疗，采用静脉输注给药。</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通过结合</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并阻断</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与</w:t>
      </w:r>
      <w:r w:rsidRPr="003E7EB4">
        <w:rPr>
          <w:rFonts w:ascii="Times New Roman" w:eastAsia="宋体" w:hAnsi="Times New Roman" w:cs="Times New Roman"/>
          <w:sz w:val="22"/>
          <w:szCs w:val="24"/>
          <w:lang w:eastAsia="zh-CN"/>
        </w:rPr>
        <w:t>PD-1</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CD80</w:t>
      </w:r>
      <w:r w:rsidRPr="003E7EB4">
        <w:rPr>
          <w:rFonts w:ascii="Times New Roman" w:eastAsia="宋体" w:hAnsi="Times New Roman" w:cs="Times New Roman"/>
          <w:sz w:val="22"/>
          <w:szCs w:val="24"/>
          <w:lang w:eastAsia="zh-CN"/>
        </w:rPr>
        <w:t>的相互作用，解除</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介导的免疫抑制，增强</w:t>
      </w:r>
      <w:r w:rsidRPr="003E7EB4">
        <w:rPr>
          <w:rFonts w:ascii="Times New Roman" w:eastAsia="宋体" w:hAnsi="Times New Roman" w:cs="Times New Roman"/>
          <w:sz w:val="22"/>
          <w:szCs w:val="24"/>
          <w:lang w:eastAsia="zh-CN"/>
        </w:rPr>
        <w:t>T</w:t>
      </w:r>
      <w:r w:rsidRPr="003E7EB4">
        <w:rPr>
          <w:rFonts w:ascii="Times New Roman" w:eastAsia="宋体" w:hAnsi="Times New Roman" w:cs="Times New Roman"/>
          <w:sz w:val="22"/>
          <w:szCs w:val="24"/>
          <w:lang w:eastAsia="zh-CN"/>
        </w:rPr>
        <w:t>细胞介导的抗肿瘤免疫反应。当前临床开发包括</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单药治疗晚期实体瘤，以及</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尚处于临床研发阶段，尚未在任何国家或地区获得上市批准。本报告中涉及的安全性和有效性资料主要来源于已完成的</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研究及正在进行的</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w:t>
      </w:r>
    </w:p>
    <w:p w14:paraId="1129168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2.</w:t>
      </w:r>
      <w:r w:rsidRPr="003E7EB4">
        <w:rPr>
          <w:rFonts w:ascii="Times New Roman" w:eastAsia="宋体" w:hAnsi="Times New Roman" w:cs="Times New Roman"/>
          <w:sz w:val="28"/>
          <w:szCs w:val="24"/>
          <w:lang w:eastAsia="zh-CN"/>
        </w:rPr>
        <w:t>全球上市批准状态</w:t>
      </w:r>
    </w:p>
    <w:p w14:paraId="705310A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尚未在任何国家或地区获得上市批准，亦未提交上市许可申请。因此，本报告周期内无新增上市批准、上市许可撤回、暂停上市、未获批准或因安全性原因限制上市等情况。</w:t>
      </w:r>
    </w:p>
    <w:p w14:paraId="3DB323BF"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3.</w:t>
      </w:r>
      <w:r w:rsidRPr="003E7EB4">
        <w:rPr>
          <w:rFonts w:ascii="Times New Roman" w:eastAsia="宋体" w:hAnsi="Times New Roman" w:cs="Times New Roman"/>
          <w:sz w:val="28"/>
          <w:szCs w:val="24"/>
          <w:lang w:eastAsia="zh-CN"/>
        </w:rPr>
        <w:t>报告周期内因安全性原因而采取的措施</w:t>
      </w:r>
    </w:p>
    <w:p w14:paraId="1C6F361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本报告周期内，未发生因安全性原因暂停、终止或提前停止</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临床研究的情况，亦未因安全性原因采取限制入组、暂停给药、终止给药方案、修改研究人群、增加特殊排除标准或停止临床开发等重大措施。</w:t>
      </w:r>
    </w:p>
    <w:p w14:paraId="717A28A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本报告周期内，基于累计安全性资料，申办者拟对《研究者手册》中的安全性参考信息进行更新，将感染性肺炎及药物诱导的肝损伤纳入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预期严重不良反应列表。该安全性参考信息变更见第</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节。</w:t>
      </w:r>
    </w:p>
    <w:p w14:paraId="76767FE2"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4.</w:t>
      </w:r>
      <w:r w:rsidRPr="003E7EB4">
        <w:rPr>
          <w:rFonts w:ascii="Times New Roman" w:eastAsia="宋体" w:hAnsi="Times New Roman" w:cs="Times New Roman"/>
          <w:sz w:val="28"/>
          <w:szCs w:val="24"/>
          <w:lang w:eastAsia="zh-CN"/>
        </w:rPr>
        <w:t>安全性参考信息变更</w:t>
      </w:r>
    </w:p>
    <w:p w14:paraId="3B14ECA0" w14:textId="3D02036D"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结合本报告期内新增的安全性数据及阶段性评估结果，申办者已确定需对当前版本的</w:t>
      </w:r>
      <w:r w:rsidRPr="003E7EB4">
        <w:rPr>
          <w:rFonts w:ascii="Times New Roman" w:eastAsia="宋体" w:hAnsi="Times New Roman" w:cs="Times New Roman"/>
          <w:sz w:val="22"/>
          <w:szCs w:val="24"/>
          <w:lang w:eastAsia="zh-CN"/>
        </w:rPr>
        <w:t xml:space="preserve"> RS</w:t>
      </w:r>
      <w:r w:rsidR="00D36E0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进行实质性更新。具体变更评估如下：</w:t>
      </w:r>
    </w:p>
    <w:p w14:paraId="2CC682C7" w14:textId="4CD652B6"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拟新增的预期严重不良反应：本报告周期内，随着</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期单药研究（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）的完成与</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期联合治疗研究（</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）的推进，申办者对逐渐累积的安全信号进行了重点医学评估。具体而言，已完成的</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期研究中共确认了与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例次感染性肺炎及</w:t>
      </w:r>
      <w:r w:rsidR="00073510">
        <w:rPr>
          <w:rFonts w:ascii="Times New Roman" w:eastAsia="宋体" w:hAnsi="Times New Roman" w:cs="Times New Roman" w:hint="eastAsia"/>
          <w:sz w:val="22"/>
          <w:szCs w:val="24"/>
          <w:lang w:eastAsia="zh-CN"/>
        </w:rPr>
        <w:t>2</w:t>
      </w:r>
      <w:r w:rsidRPr="003E7EB4">
        <w:rPr>
          <w:rFonts w:ascii="Times New Roman" w:eastAsia="宋体" w:hAnsi="Times New Roman" w:cs="Times New Roman"/>
          <w:sz w:val="22"/>
          <w:szCs w:val="24"/>
          <w:lang w:eastAsia="zh-CN"/>
        </w:rPr>
        <w:t>例次药物诱导的肝损伤（均曾按</w:t>
      </w:r>
      <w:r w:rsidRPr="003E7EB4">
        <w:rPr>
          <w:rFonts w:ascii="Times New Roman" w:eastAsia="宋体" w:hAnsi="Times New Roman" w:cs="Times New Roman"/>
          <w:sz w:val="22"/>
          <w:szCs w:val="24"/>
          <w:lang w:eastAsia="zh-CN"/>
        </w:rPr>
        <w:t>SUSAR</w:t>
      </w:r>
      <w:r w:rsidRPr="003E7EB4">
        <w:rPr>
          <w:rFonts w:ascii="Times New Roman" w:eastAsia="宋体" w:hAnsi="Times New Roman" w:cs="Times New Roman"/>
          <w:sz w:val="22"/>
          <w:szCs w:val="24"/>
          <w:lang w:eastAsia="zh-CN"/>
        </w:rPr>
        <w:t>报告）；同时，在本期正在进行的</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期研究中又新增了</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例次相关的感染性肺炎。基于上述风险在本周期内的集中确证与重现（所有研究累计</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例次肺炎及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lastRenderedPageBreak/>
        <w:t>例次肝损伤），申办者拟在下一版更新的《研究者手册》中，正式将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感染性肺炎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药物诱导的肝损伤</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纳入</w:t>
      </w:r>
      <w:r w:rsidRPr="003E7EB4">
        <w:rPr>
          <w:rFonts w:ascii="Times New Roman" w:eastAsia="宋体" w:hAnsi="Times New Roman" w:cs="Times New Roman"/>
          <w:sz w:val="22"/>
          <w:szCs w:val="24"/>
          <w:lang w:eastAsia="zh-CN"/>
        </w:rPr>
        <w:t>RS</w:t>
      </w:r>
      <w:r w:rsidR="00A37FF1"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的预期严重不良反应列表。</w:t>
      </w:r>
    </w:p>
    <w:p w14:paraId="5693DF2A" w14:textId="7D710852"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本期评估后暂不纳入</w:t>
      </w:r>
      <w:r w:rsidRPr="003E7EB4">
        <w:rPr>
          <w:rFonts w:ascii="Times New Roman" w:eastAsia="宋体" w:hAnsi="Times New Roman" w:cs="Times New Roman"/>
          <w:sz w:val="22"/>
          <w:szCs w:val="24"/>
          <w:lang w:eastAsia="zh-CN"/>
        </w:rPr>
        <w:t xml:space="preserve"> RS</w:t>
      </w:r>
      <w:r w:rsidR="00F63CD6"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的事件：本期内观察到的其他免疫相关不良事件（如腹泻、皮疹、甲状腺及肝功能常规指标异常等），申办者亦进行了集中审查。经评估，上述事件的发生频率及严重程度未超出同类药物的常规预期，现有证据尚不支持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腹泻</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等事件作为新增的预期严重不良反应纳入</w:t>
      </w:r>
      <w:r w:rsidRPr="003E7EB4">
        <w:rPr>
          <w:rFonts w:ascii="Times New Roman" w:eastAsia="宋体" w:hAnsi="Times New Roman" w:cs="Times New Roman"/>
          <w:sz w:val="22"/>
          <w:szCs w:val="24"/>
          <w:lang w:eastAsia="zh-CN"/>
        </w:rPr>
        <w:t xml:space="preserve"> RS</w:t>
      </w:r>
      <w:r w:rsidR="00F63CD6"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。上述事件将在后续临床研究中继续维持常规监测。</w:t>
      </w:r>
    </w:p>
    <w:p w14:paraId="01E5240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5.</w:t>
      </w:r>
      <w:r w:rsidRPr="003E7EB4">
        <w:rPr>
          <w:rFonts w:ascii="Times New Roman" w:eastAsia="宋体" w:hAnsi="Times New Roman" w:cs="Times New Roman"/>
          <w:sz w:val="28"/>
          <w:szCs w:val="24"/>
          <w:lang w:eastAsia="zh-CN"/>
        </w:rPr>
        <w:t>报告周期内正在进行和已完成的临床试验清单</w:t>
      </w:r>
    </w:p>
    <w:p w14:paraId="4EA4DFBD" w14:textId="552FF7E4"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本周期内于</w:t>
      </w:r>
      <w:r w:rsidRPr="003E7EB4">
        <w:rPr>
          <w:rFonts w:ascii="Times New Roman" w:eastAsia="宋体" w:hAnsi="Times New Roman" w:cs="Times New Roman"/>
          <w:sz w:val="22"/>
          <w:szCs w:val="24"/>
          <w:lang w:eastAsia="zh-CN"/>
        </w:rPr>
        <w:t>2023.03.20</w:t>
      </w:r>
      <w:r w:rsidRPr="003E7EB4">
        <w:rPr>
          <w:rFonts w:ascii="Times New Roman" w:eastAsia="宋体" w:hAnsi="Times New Roman" w:cs="Times New Roman"/>
          <w:sz w:val="22"/>
          <w:szCs w:val="24"/>
          <w:lang w:eastAsia="zh-CN"/>
        </w:rPr>
        <w:t>完成一项</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w:t>
      </w:r>
      <w:r w:rsidR="009B0D91" w:rsidRPr="003E7EB4">
        <w:rPr>
          <w:rFonts w:ascii="Times New Roman" w:eastAsia="宋体" w:hAnsi="Times New Roman" w:cs="Times New Roman"/>
          <w:sz w:val="22"/>
          <w:szCs w:val="24"/>
          <w:lang w:eastAsia="zh-CN"/>
        </w:rPr>
        <w:t>晚期非鳞状非小细胞肺癌</w:t>
      </w:r>
      <w:r w:rsidRPr="003E7EB4">
        <w:rPr>
          <w:rFonts w:ascii="Times New Roman" w:eastAsia="宋体" w:hAnsi="Times New Roman" w:cs="Times New Roman"/>
          <w:sz w:val="22"/>
          <w:szCs w:val="24"/>
          <w:lang w:eastAsia="zh-CN"/>
        </w:rPr>
        <w:t>试验参与者的临床研究。该研究已完成并观察到初步抗肿瘤活性，结合安全性、耐受性、药代动力学、免疫原性及有效性结果，支持将</w:t>
      </w:r>
      <w:r w:rsidRPr="003E7EB4">
        <w:rPr>
          <w:rFonts w:ascii="Times New Roman" w:eastAsia="宋体" w:hAnsi="Times New Roman" w:cs="Times New Roman"/>
          <w:sz w:val="22"/>
          <w:szCs w:val="24"/>
          <w:lang w:eastAsia="zh-CN"/>
        </w:rPr>
        <w:t>VT8802 3 mg/kg Q3W</w:t>
      </w:r>
      <w:r w:rsidRPr="003E7EB4">
        <w:rPr>
          <w:rFonts w:ascii="Times New Roman" w:eastAsia="宋体" w:hAnsi="Times New Roman" w:cs="Times New Roman"/>
          <w:sz w:val="22"/>
          <w:szCs w:val="24"/>
          <w:lang w:eastAsia="zh-CN"/>
        </w:rPr>
        <w:t>作为后续临床研究的推荐给药方案。</w:t>
      </w:r>
    </w:p>
    <w:p w14:paraId="2628276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日，正在进行一项</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联合卡铂和培美曲塞治疗晚期非鳞状非小细胞肺癌试验参与者的临床研究，已观察到初步抗肿瘤活性，现有资料支持研究继续开展。</w:t>
      </w:r>
    </w:p>
    <w:p w14:paraId="6D7CB824"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各研究的设计、状态、研究人群、给药方案及累计暴露情况见附录</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w:t>
      </w:r>
    </w:p>
    <w:p w14:paraId="64B1247A"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6.</w:t>
      </w:r>
      <w:r w:rsidRPr="003E7EB4">
        <w:rPr>
          <w:rFonts w:ascii="Times New Roman" w:eastAsia="宋体" w:hAnsi="Times New Roman" w:cs="Times New Roman"/>
          <w:sz w:val="28"/>
          <w:szCs w:val="24"/>
          <w:lang w:eastAsia="zh-CN"/>
        </w:rPr>
        <w:t>估计的累计暴露量</w:t>
      </w:r>
    </w:p>
    <w:p w14:paraId="7AD14FA2"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6.1 </w:t>
      </w:r>
      <w:r w:rsidRPr="00CA09A6">
        <w:rPr>
          <w:rFonts w:ascii="Times New Roman" w:eastAsia="宋体" w:hAnsi="Times New Roman" w:cs="Times New Roman"/>
          <w:lang w:eastAsia="zh-CN"/>
        </w:rPr>
        <w:t>研发项目中的累计试验参与者暴露量</w:t>
      </w:r>
    </w:p>
    <w:p w14:paraId="4AE8E898"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日，累计共有</w:t>
      </w:r>
      <w:r w:rsidRPr="003E7EB4">
        <w:rPr>
          <w:rFonts w:ascii="Times New Roman" w:eastAsia="宋体" w:hAnsi="Times New Roman" w:cs="Times New Roman"/>
          <w:sz w:val="22"/>
          <w:szCs w:val="24"/>
          <w:lang w:eastAsia="zh-CN"/>
        </w:rPr>
        <w:t>50</w:t>
      </w:r>
      <w:r w:rsidRPr="003E7EB4">
        <w:rPr>
          <w:rFonts w:ascii="Times New Roman" w:eastAsia="宋体" w:hAnsi="Times New Roman" w:cs="Times New Roman"/>
          <w:sz w:val="22"/>
          <w:szCs w:val="24"/>
          <w:lang w:eastAsia="zh-CN"/>
        </w:rPr>
        <w:t>例试验参与者在</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临床研究中接受至少一次</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治疗。其中，</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例试验参与者来自已完成的</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研究，接受</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例试验参与者来自正在进行的</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研究，接受</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w:t>
      </w:r>
    </w:p>
    <w:p w14:paraId="642FFB0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在</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21</w:t>
      </w:r>
      <w:r w:rsidRPr="003E7EB4">
        <w:rPr>
          <w:rFonts w:ascii="Times New Roman" w:eastAsia="宋体" w:hAnsi="Times New Roman" w:cs="Times New Roman"/>
          <w:sz w:val="22"/>
          <w:szCs w:val="24"/>
          <w:lang w:eastAsia="zh-CN"/>
        </w:rPr>
        <w:t>例试验参与者接受推荐剂量</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治疗。在</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例试验参与者均接受</w:t>
      </w:r>
      <w:r w:rsidRPr="003E7EB4">
        <w:rPr>
          <w:rFonts w:ascii="Times New Roman" w:eastAsia="宋体" w:hAnsi="Times New Roman" w:cs="Times New Roman"/>
          <w:sz w:val="22"/>
          <w:szCs w:val="24"/>
          <w:lang w:eastAsia="zh-CN"/>
        </w:rPr>
        <w:t>VT8802 3 mg/kg Q3W</w:t>
      </w:r>
      <w:r w:rsidRPr="003E7EB4">
        <w:rPr>
          <w:rFonts w:ascii="Times New Roman" w:eastAsia="宋体" w:hAnsi="Times New Roman" w:cs="Times New Roman"/>
          <w:sz w:val="22"/>
          <w:szCs w:val="24"/>
          <w:lang w:eastAsia="zh-CN"/>
        </w:rPr>
        <w:t>联合卡铂和培美曲塞治疗。因此，截至本报告期结束，累计</w:t>
      </w:r>
      <w:r w:rsidRPr="003E7EB4">
        <w:rPr>
          <w:rFonts w:ascii="Times New Roman" w:eastAsia="宋体" w:hAnsi="Times New Roman" w:cs="Times New Roman"/>
          <w:sz w:val="22"/>
          <w:szCs w:val="24"/>
          <w:lang w:eastAsia="zh-CN"/>
        </w:rPr>
        <w:t>41</w:t>
      </w:r>
      <w:r w:rsidRPr="003E7EB4">
        <w:rPr>
          <w:rFonts w:ascii="Times New Roman" w:eastAsia="宋体" w:hAnsi="Times New Roman" w:cs="Times New Roman"/>
          <w:sz w:val="22"/>
          <w:szCs w:val="24"/>
          <w:lang w:eastAsia="zh-CN"/>
        </w:rPr>
        <w:t>例试验参与者接受</w:t>
      </w:r>
      <w:r w:rsidRPr="003E7EB4">
        <w:rPr>
          <w:rFonts w:ascii="Times New Roman" w:eastAsia="宋体" w:hAnsi="Times New Roman" w:cs="Times New Roman"/>
          <w:sz w:val="22"/>
          <w:szCs w:val="24"/>
          <w:lang w:eastAsia="zh-CN"/>
        </w:rPr>
        <w:t>VT8802 3 mg/kg Q3W</w:t>
      </w:r>
      <w:r w:rsidRPr="003E7EB4">
        <w:rPr>
          <w:rFonts w:ascii="Times New Roman" w:eastAsia="宋体" w:hAnsi="Times New Roman" w:cs="Times New Roman"/>
          <w:sz w:val="22"/>
          <w:szCs w:val="24"/>
          <w:lang w:eastAsia="zh-CN"/>
        </w:rPr>
        <w:t>方案治疗。</w:t>
      </w:r>
    </w:p>
    <w:p w14:paraId="1FBE971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的临床暴露量仍相对有限，现有安全性结论需结合后续临床研究中不断增加的暴露数据持续评估。</w:t>
      </w:r>
    </w:p>
    <w:p w14:paraId="6DB6E268"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6.2 </w:t>
      </w:r>
      <w:r w:rsidRPr="00CA09A6">
        <w:rPr>
          <w:rFonts w:ascii="Times New Roman" w:eastAsia="宋体" w:hAnsi="Times New Roman" w:cs="Times New Roman"/>
          <w:lang w:eastAsia="zh-CN"/>
        </w:rPr>
        <w:t>上市后用药经验中的患者暴露量</w:t>
      </w:r>
    </w:p>
    <w:p w14:paraId="1C18B18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尚未在任何国家或地区获得上市批准，因此无上市后用药经验中的患者暴露量数据。</w:t>
      </w:r>
    </w:p>
    <w:p w14:paraId="7A608580" w14:textId="77777777" w:rsidR="00946940" w:rsidRPr="00CA09A6" w:rsidRDefault="00000000" w:rsidP="00C25E0D">
      <w:pPr>
        <w:pStyle w:val="1"/>
        <w:jc w:val="both"/>
        <w:rPr>
          <w:rFonts w:ascii="Times New Roman" w:eastAsia="宋体" w:hAnsi="Times New Roman" w:cs="Times New Roman"/>
          <w:lang w:eastAsia="zh-CN"/>
        </w:rPr>
      </w:pPr>
      <w:r w:rsidRPr="003E7EB4">
        <w:rPr>
          <w:rFonts w:ascii="Times New Roman" w:eastAsia="宋体" w:hAnsi="Times New Roman" w:cs="Times New Roman"/>
          <w:sz w:val="28"/>
          <w:szCs w:val="24"/>
          <w:lang w:eastAsia="zh-CN"/>
        </w:rPr>
        <w:lastRenderedPageBreak/>
        <w:t>7.</w:t>
      </w:r>
      <w:r w:rsidRPr="003E7EB4">
        <w:rPr>
          <w:rFonts w:ascii="Times New Roman" w:eastAsia="宋体" w:hAnsi="Times New Roman" w:cs="Times New Roman"/>
          <w:sz w:val="28"/>
          <w:szCs w:val="24"/>
          <w:lang w:eastAsia="zh-CN"/>
        </w:rPr>
        <w:t>行列表和汇总表中的数据</w:t>
      </w:r>
    </w:p>
    <w:p w14:paraId="63EE756F"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7.1 </w:t>
      </w:r>
      <w:r w:rsidRPr="00CA09A6">
        <w:rPr>
          <w:rFonts w:ascii="Times New Roman" w:eastAsia="宋体" w:hAnsi="Times New Roman" w:cs="Times New Roman"/>
          <w:lang w:eastAsia="zh-CN"/>
        </w:rPr>
        <w:t>参考信息</w:t>
      </w:r>
    </w:p>
    <w:p w14:paraId="4E1C1FE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中严重不良反应的预期性判断基于事件发生时有效版本的安全性参考信息。对于本报告期内基于累计资料拟新增至后续安全性参考信息的感染性肺炎及药物诱导的肝损伤，既往病例仍按照事件发生时有效版本的安全性参考信息进行预期性判断。</w:t>
      </w:r>
    </w:p>
    <w:p w14:paraId="2801C9ED"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严重不良反应行列表和严重不良事件累计汇总表分别见相应附录。</w:t>
      </w:r>
    </w:p>
    <w:p w14:paraId="67AC421E"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7.2 </w:t>
      </w:r>
      <w:r w:rsidRPr="00CA09A6">
        <w:rPr>
          <w:rFonts w:ascii="Times New Roman" w:eastAsia="宋体" w:hAnsi="Times New Roman" w:cs="Times New Roman"/>
          <w:lang w:eastAsia="zh-CN"/>
        </w:rPr>
        <w:t>报告周期内的严重不良反应行列表</w:t>
      </w:r>
    </w:p>
    <w:p w14:paraId="56715B81"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本报告周期内纳入严重不良反应行列表的病例为申办者获知的、经研究者判断与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相关的严重不良反应。相关病例信息见附录</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w:t>
      </w:r>
    </w:p>
    <w:p w14:paraId="55D03F33"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7.3 </w:t>
      </w:r>
      <w:r w:rsidRPr="00CA09A6">
        <w:rPr>
          <w:rFonts w:ascii="Times New Roman" w:eastAsia="宋体" w:hAnsi="Times New Roman" w:cs="Times New Roman"/>
          <w:lang w:eastAsia="zh-CN"/>
        </w:rPr>
        <w:t>严重不良事件的累计汇总表</w:t>
      </w:r>
    </w:p>
    <w:p w14:paraId="3115717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临床研究中累计报告</w:t>
      </w:r>
      <w:r w:rsidRPr="003E7EB4">
        <w:rPr>
          <w:rFonts w:ascii="Times New Roman" w:eastAsia="宋体" w:hAnsi="Times New Roman" w:cs="Times New Roman"/>
          <w:sz w:val="22"/>
          <w:szCs w:val="24"/>
          <w:lang w:eastAsia="zh-CN"/>
        </w:rPr>
        <w:t>12</w:t>
      </w:r>
      <w:r w:rsidRPr="003E7EB4">
        <w:rPr>
          <w:rFonts w:ascii="Times New Roman" w:eastAsia="宋体" w:hAnsi="Times New Roman" w:cs="Times New Roman"/>
          <w:sz w:val="22"/>
          <w:szCs w:val="24"/>
          <w:lang w:eastAsia="zh-CN"/>
        </w:rPr>
        <w:t>例次严重不良事件。严重不良事件累计汇总情况见附录</w:t>
      </w:r>
      <w:r w:rsidRPr="003E7EB4">
        <w:rPr>
          <w:rFonts w:ascii="Times New Roman" w:eastAsia="宋体" w:hAnsi="Times New Roman" w:cs="Times New Roman"/>
          <w:sz w:val="22"/>
          <w:szCs w:val="24"/>
          <w:lang w:eastAsia="zh-CN"/>
        </w:rPr>
        <w:t>6</w:t>
      </w:r>
      <w:r w:rsidRPr="003E7EB4">
        <w:rPr>
          <w:rFonts w:ascii="Times New Roman" w:eastAsia="宋体" w:hAnsi="Times New Roman" w:cs="Times New Roman"/>
          <w:sz w:val="22"/>
          <w:szCs w:val="24"/>
          <w:lang w:eastAsia="zh-CN"/>
        </w:rPr>
        <w:t>。</w:t>
      </w:r>
    </w:p>
    <w:p w14:paraId="1EAF2904"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8.</w:t>
      </w:r>
      <w:r w:rsidRPr="003E7EB4">
        <w:rPr>
          <w:rFonts w:ascii="Times New Roman" w:eastAsia="宋体" w:hAnsi="Times New Roman" w:cs="Times New Roman"/>
          <w:sz w:val="28"/>
          <w:szCs w:val="24"/>
          <w:lang w:eastAsia="zh-CN"/>
        </w:rPr>
        <w:t>报告期内临床试验中有意义的发现</w:t>
      </w:r>
    </w:p>
    <w:p w14:paraId="40C5542C"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8.1 </w:t>
      </w:r>
      <w:r w:rsidRPr="00CA09A6">
        <w:rPr>
          <w:rFonts w:ascii="Times New Roman" w:eastAsia="宋体" w:hAnsi="Times New Roman" w:cs="Times New Roman"/>
          <w:lang w:eastAsia="zh-CN"/>
        </w:rPr>
        <w:t>已完成的临床试验</w:t>
      </w:r>
    </w:p>
    <w:p w14:paraId="6D3AEE0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研究已完成。该研究评价</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单药治疗晚期实体瘤试验参与者的安全性、耐受性、药代动力学、免疫原性及初步抗肿瘤活性。</w:t>
      </w:r>
    </w:p>
    <w:p w14:paraId="08CA7EC7" w14:textId="2C45D59F"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本研究共</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例试验参与者接受至少一次</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治疗，其中</w:t>
      </w:r>
      <w:r w:rsidRPr="003E7EB4">
        <w:rPr>
          <w:rFonts w:ascii="Times New Roman" w:eastAsia="宋体" w:hAnsi="Times New Roman" w:cs="Times New Roman"/>
          <w:sz w:val="22"/>
          <w:szCs w:val="24"/>
          <w:lang w:eastAsia="zh-CN"/>
        </w:rPr>
        <w:t>21</w:t>
      </w:r>
      <w:r w:rsidRPr="003E7EB4">
        <w:rPr>
          <w:rFonts w:ascii="Times New Roman" w:eastAsia="宋体" w:hAnsi="Times New Roman" w:cs="Times New Roman"/>
          <w:sz w:val="22"/>
          <w:szCs w:val="24"/>
          <w:lang w:eastAsia="zh-CN"/>
        </w:rPr>
        <w:t>例接受推荐剂量</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。研究期间未观察到剂量限制性毒性（</w:t>
      </w:r>
      <w:r w:rsidRPr="003E7EB4">
        <w:rPr>
          <w:rFonts w:ascii="Times New Roman" w:eastAsia="宋体" w:hAnsi="Times New Roman" w:cs="Times New Roman"/>
          <w:sz w:val="22"/>
          <w:szCs w:val="24"/>
          <w:lang w:eastAsia="zh-CN"/>
        </w:rPr>
        <w:t>DLT</w:t>
      </w:r>
      <w:r w:rsidRPr="003E7EB4">
        <w:rPr>
          <w:rFonts w:ascii="Times New Roman" w:eastAsia="宋体" w:hAnsi="Times New Roman" w:cs="Times New Roman"/>
          <w:sz w:val="22"/>
          <w:szCs w:val="24"/>
          <w:lang w:eastAsia="zh-CN"/>
        </w:rPr>
        <w:t>），达到最大耐受剂量（</w:t>
      </w:r>
      <w:r w:rsidRPr="003E7EB4">
        <w:rPr>
          <w:rFonts w:ascii="Times New Roman" w:eastAsia="宋体" w:hAnsi="Times New Roman" w:cs="Times New Roman"/>
          <w:sz w:val="22"/>
          <w:szCs w:val="24"/>
          <w:lang w:eastAsia="zh-CN"/>
        </w:rPr>
        <w:t>MTD</w:t>
      </w:r>
      <w:r w:rsidRPr="003E7EB4">
        <w:rPr>
          <w:rFonts w:ascii="Times New Roman" w:eastAsia="宋体" w:hAnsi="Times New Roman" w:cs="Times New Roman"/>
          <w:sz w:val="22"/>
          <w:szCs w:val="24"/>
          <w:lang w:eastAsia="zh-CN"/>
        </w:rPr>
        <w:t>）。</w:t>
      </w:r>
    </w:p>
    <w:p w14:paraId="5B6E521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本研究中，</w:t>
      </w:r>
      <w:r w:rsidRPr="003E7EB4">
        <w:rPr>
          <w:rFonts w:ascii="Times New Roman" w:eastAsia="宋体" w:hAnsi="Times New Roman" w:cs="Times New Roman"/>
          <w:sz w:val="22"/>
          <w:szCs w:val="24"/>
          <w:lang w:eastAsia="zh-CN"/>
        </w:rPr>
        <w:t>28</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93.3%</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386</w:t>
      </w:r>
      <w:r w:rsidRPr="003E7EB4">
        <w:rPr>
          <w:rFonts w:ascii="Times New Roman" w:eastAsia="宋体" w:hAnsi="Times New Roman" w:cs="Times New Roman"/>
          <w:sz w:val="22"/>
          <w:szCs w:val="24"/>
          <w:lang w:eastAsia="zh-CN"/>
        </w:rPr>
        <w:t>例次治疗期间出现的不良事件（</w:t>
      </w:r>
      <w:r w:rsidRPr="003E7EB4">
        <w:rPr>
          <w:rFonts w:ascii="Times New Roman" w:eastAsia="宋体" w:hAnsi="Times New Roman" w:cs="Times New Roman"/>
          <w:sz w:val="22"/>
          <w:szCs w:val="24"/>
          <w:lang w:eastAsia="zh-CN"/>
        </w:rPr>
        <w:t>TEAE</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24</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80.0%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112</w:t>
      </w:r>
      <w:r w:rsidRPr="003E7EB4">
        <w:rPr>
          <w:rFonts w:ascii="Times New Roman" w:eastAsia="宋体" w:hAnsi="Times New Roman" w:cs="Times New Roman"/>
          <w:sz w:val="22"/>
          <w:szCs w:val="24"/>
          <w:lang w:eastAsia="zh-CN"/>
        </w:rPr>
        <w:t>例次不良反应（</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）。发生率</w:t>
      </w:r>
      <w:r w:rsidRPr="003E7EB4">
        <w:rPr>
          <w:rFonts w:ascii="Times New Roman" w:eastAsia="宋体" w:hAnsi="Times New Roman" w:cs="Times New Roman"/>
          <w:sz w:val="22"/>
          <w:szCs w:val="24"/>
          <w:lang w:eastAsia="zh-CN"/>
        </w:rPr>
        <w:t>≥10%</w:t>
      </w:r>
      <w:r w:rsidRPr="003E7EB4">
        <w:rPr>
          <w:rFonts w:ascii="Times New Roman" w:eastAsia="宋体" w:hAnsi="Times New Roman" w:cs="Times New Roman"/>
          <w:sz w:val="22"/>
          <w:szCs w:val="24"/>
          <w:lang w:eastAsia="zh-CN"/>
        </w:rPr>
        <w:t>的不良反应主要包括乏力、恶心、皮疹、输液相关反应、丙氨酸氨基转移酶升高、甲状腺功能减退症及腹泻。研究期间共</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16.7%</w:t>
      </w:r>
      <w:r w:rsidRPr="003E7EB4">
        <w:rPr>
          <w:rFonts w:ascii="Times New Roman" w:eastAsia="宋体" w:hAnsi="Times New Roman" w:cs="Times New Roman"/>
          <w:sz w:val="22"/>
          <w:szCs w:val="24"/>
          <w:lang w:eastAsia="zh-CN"/>
        </w:rPr>
        <w:t>）试验参与者报告</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例次严重不良事件，其中与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相关的严重不良事件包括感染性肺炎（</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例次）及药物诱导的肝损伤（</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例次），均判定为疑似非预期严重不良反应。研究期间共报告</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例死亡，包括</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例与药物无关的</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级呼吸衰竭及</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例疾病进展，未发生与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相关的致死性不良事件。</w:t>
      </w:r>
    </w:p>
    <w:p w14:paraId="324F0B6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有效性方面，本研究观察到一定初步抗肿瘤活性。结合安全性、耐受性、药代动力学、免疫原性及初步有效性结果，</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被确定为后续临床研究的推荐给药方案。</w:t>
      </w:r>
    </w:p>
    <w:p w14:paraId="1D743A5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研究显示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单药治疗晚期实体瘤试验参与者的安全性良好且可接受，未发现影响后续临床开发的不可接受安全性风险。</w:t>
      </w:r>
    </w:p>
    <w:p w14:paraId="0EEFEF7C"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lastRenderedPageBreak/>
        <w:t xml:space="preserve">8.2 </w:t>
      </w:r>
      <w:r w:rsidRPr="00CA09A6">
        <w:rPr>
          <w:rFonts w:ascii="Times New Roman" w:eastAsia="宋体" w:hAnsi="Times New Roman" w:cs="Times New Roman"/>
          <w:lang w:eastAsia="zh-CN"/>
        </w:rPr>
        <w:t>正在进行的临床试验</w:t>
      </w:r>
    </w:p>
    <w:p w14:paraId="25C3188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研究持续开展。该研究评价</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联合卡铂和培美曲塞治疗晚期非鳞状非小细胞肺癌试验参与者的安全性和初步有效性。</w:t>
      </w:r>
    </w:p>
    <w:p w14:paraId="4890BA86" w14:textId="75905D59"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日，本研究共</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例试验参与者接受试验药物治疗。</w:t>
      </w:r>
      <w:r w:rsidRPr="003E7EB4">
        <w:rPr>
          <w:rFonts w:ascii="Times New Roman" w:eastAsia="宋体" w:hAnsi="Times New Roman" w:cs="Times New Roman"/>
          <w:sz w:val="22"/>
          <w:szCs w:val="24"/>
          <w:lang w:eastAsia="zh-CN"/>
        </w:rPr>
        <w:t>18</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90.0%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86</w:t>
      </w:r>
      <w:r w:rsidRPr="003E7EB4">
        <w:rPr>
          <w:rFonts w:ascii="Times New Roman" w:eastAsia="宋体" w:hAnsi="Times New Roman" w:cs="Times New Roman"/>
          <w:sz w:val="22"/>
          <w:szCs w:val="24"/>
          <w:lang w:eastAsia="zh-CN"/>
        </w:rPr>
        <w:t>例次治疗期间出现的不良事件（</w:t>
      </w:r>
      <w:r w:rsidRPr="003E7EB4">
        <w:rPr>
          <w:rFonts w:ascii="Times New Roman" w:eastAsia="宋体" w:hAnsi="Times New Roman" w:cs="Times New Roman"/>
          <w:sz w:val="22"/>
          <w:szCs w:val="24"/>
          <w:lang w:eastAsia="zh-CN"/>
        </w:rPr>
        <w:t>TEAE</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14</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70.0%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52</w:t>
      </w:r>
      <w:r w:rsidRPr="003E7EB4">
        <w:rPr>
          <w:rFonts w:ascii="Times New Roman" w:eastAsia="宋体" w:hAnsi="Times New Roman" w:cs="Times New Roman"/>
          <w:sz w:val="22"/>
          <w:szCs w:val="24"/>
          <w:lang w:eastAsia="zh-CN"/>
        </w:rPr>
        <w:t>例次</w:t>
      </w:r>
      <w:r w:rsidR="001C73A3" w:rsidRPr="003E7EB4">
        <w:rPr>
          <w:rFonts w:ascii="Times New Roman" w:eastAsia="宋体" w:hAnsi="Times New Roman" w:cs="Times New Roman"/>
          <w:sz w:val="22"/>
          <w:szCs w:val="24"/>
          <w:lang w:eastAsia="zh-CN"/>
        </w:rPr>
        <w:t>治疗期间出现的不良事件（</w:t>
      </w:r>
      <w:r w:rsidR="001C73A3" w:rsidRPr="003E7EB4">
        <w:rPr>
          <w:rFonts w:ascii="Times New Roman" w:eastAsia="宋体" w:hAnsi="Times New Roman" w:cs="Times New Roman"/>
          <w:sz w:val="22"/>
          <w:szCs w:val="24"/>
          <w:lang w:eastAsia="zh-CN"/>
        </w:rPr>
        <w:t>TEAE</w:t>
      </w:r>
      <w:r w:rsidR="001C73A3"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w:t>
      </w:r>
    </w:p>
    <w:p w14:paraId="73508B75"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有效性方面，截至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日，本研究共有</w:t>
      </w:r>
      <w:r w:rsidRPr="003E7EB4">
        <w:rPr>
          <w:rFonts w:ascii="Times New Roman" w:eastAsia="宋体" w:hAnsi="Times New Roman" w:cs="Times New Roman"/>
          <w:sz w:val="22"/>
          <w:szCs w:val="24"/>
          <w:lang w:eastAsia="zh-CN"/>
        </w:rPr>
        <w:t>18</w:t>
      </w:r>
      <w:r w:rsidRPr="003E7EB4">
        <w:rPr>
          <w:rFonts w:ascii="Times New Roman" w:eastAsia="宋体" w:hAnsi="Times New Roman" w:cs="Times New Roman"/>
          <w:sz w:val="22"/>
          <w:szCs w:val="24"/>
          <w:lang w:eastAsia="zh-CN"/>
        </w:rPr>
        <w:t>例试验参与者完成至少一次基线后肿瘤疗效评估。经研究者评估，</w:t>
      </w:r>
      <w:r w:rsidRPr="003E7EB4">
        <w:rPr>
          <w:rFonts w:ascii="Times New Roman" w:eastAsia="宋体" w:hAnsi="Times New Roman" w:cs="Times New Roman"/>
          <w:sz w:val="22"/>
          <w:szCs w:val="24"/>
          <w:lang w:eastAsia="zh-CN"/>
        </w:rPr>
        <w:t>7</w:t>
      </w:r>
      <w:r w:rsidRPr="003E7EB4">
        <w:rPr>
          <w:rFonts w:ascii="Times New Roman" w:eastAsia="宋体" w:hAnsi="Times New Roman" w:cs="Times New Roman"/>
          <w:sz w:val="22"/>
          <w:szCs w:val="24"/>
          <w:lang w:eastAsia="zh-CN"/>
        </w:rPr>
        <w:t>例试验参与者达到部分缓解（</w:t>
      </w:r>
      <w:r w:rsidRPr="003E7EB4">
        <w:rPr>
          <w:rFonts w:ascii="Times New Roman" w:eastAsia="宋体" w:hAnsi="Times New Roman" w:cs="Times New Roman"/>
          <w:sz w:val="22"/>
          <w:szCs w:val="24"/>
          <w:lang w:eastAsia="zh-CN"/>
        </w:rPr>
        <w:t>PR</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例试验参与者达到疾病稳定（</w:t>
      </w:r>
      <w:r w:rsidRPr="003E7EB4">
        <w:rPr>
          <w:rFonts w:ascii="Times New Roman" w:eastAsia="宋体" w:hAnsi="Times New Roman" w:cs="Times New Roman"/>
          <w:sz w:val="22"/>
          <w:szCs w:val="24"/>
          <w:lang w:eastAsia="zh-CN"/>
        </w:rPr>
        <w:t>SD</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ORR</w:t>
      </w:r>
      <w:r w:rsidRPr="003E7EB4">
        <w:rPr>
          <w:rFonts w:ascii="Times New Roman" w:eastAsia="宋体" w:hAnsi="Times New Roman" w:cs="Times New Roman"/>
          <w:sz w:val="22"/>
          <w:szCs w:val="24"/>
          <w:lang w:eastAsia="zh-CN"/>
        </w:rPr>
        <w:t>为</w:t>
      </w:r>
      <w:r w:rsidRPr="003E7EB4">
        <w:rPr>
          <w:rFonts w:ascii="Times New Roman" w:eastAsia="宋体" w:hAnsi="Times New Roman" w:cs="Times New Roman"/>
          <w:sz w:val="22"/>
          <w:szCs w:val="24"/>
          <w:lang w:eastAsia="zh-CN"/>
        </w:rPr>
        <w:t>38.9%</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7/18</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DCR</w:t>
      </w:r>
      <w:r w:rsidRPr="003E7EB4">
        <w:rPr>
          <w:rFonts w:ascii="Times New Roman" w:eastAsia="宋体" w:hAnsi="Times New Roman" w:cs="Times New Roman"/>
          <w:sz w:val="22"/>
          <w:szCs w:val="24"/>
          <w:lang w:eastAsia="zh-CN"/>
        </w:rPr>
        <w:t>为</w:t>
      </w:r>
      <w:r w:rsidRPr="003E7EB4">
        <w:rPr>
          <w:rFonts w:ascii="Times New Roman" w:eastAsia="宋体" w:hAnsi="Times New Roman" w:cs="Times New Roman"/>
          <w:sz w:val="22"/>
          <w:szCs w:val="24"/>
          <w:lang w:eastAsia="zh-CN"/>
        </w:rPr>
        <w:t>83.3%</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15/18</w:t>
      </w:r>
      <w:r w:rsidRPr="003E7EB4">
        <w:rPr>
          <w:rFonts w:ascii="Times New Roman" w:eastAsia="宋体" w:hAnsi="Times New Roman" w:cs="Times New Roman"/>
          <w:sz w:val="22"/>
          <w:szCs w:val="24"/>
          <w:lang w:eastAsia="zh-CN"/>
        </w:rPr>
        <w:t>）。由于随访时间尚短，缓解持续时间、无进展生存期及总生存期数据尚未成熟，仍需结合后续随访进一步评价。</w:t>
      </w:r>
    </w:p>
    <w:p w14:paraId="7402ED1B"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本研究中观察到的不良反应主要涉及胃肠道反应、血液学毒性、全身症状、皮肤相关事件、输液相关反应、肝功能相关实验室指标异常及肺部感染相关事件。</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级不良反应包括中性粒细胞计数降低、发热性中性粒细胞减少症、贫血及感染性肺炎。</w:t>
      </w:r>
    </w:p>
    <w:p w14:paraId="2F4F0A5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研究共报告</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例次严重不良事件，包括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例次中性粒细胞减少症、</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例次感染性肺炎及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例次房颤。其中，感染性肺炎经研究者判断与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相关；中性粒细胞减少症判定为与卡铂及培美曲塞相关；房颤判定为与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、卡铂及培美曲塞均无关。</w:t>
      </w:r>
    </w:p>
    <w:p w14:paraId="064C63E1"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报告的安全性信息未提示影响研究继续开展的新的重大安全性风险，初步有效性结果支持继续开展该联合治疗研究。后续研究中将继续关注感染性肺炎、药物诱导的肝损伤、腹泻及其他免疫相关风险，并结合更多疗效和随访数据持续评估</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联合治疗方案的获益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风险特征。</w:t>
      </w:r>
    </w:p>
    <w:p w14:paraId="3BA07206"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8.3 </w:t>
      </w:r>
      <w:r w:rsidRPr="00CA09A6">
        <w:rPr>
          <w:rFonts w:ascii="Times New Roman" w:eastAsia="宋体" w:hAnsi="Times New Roman" w:cs="Times New Roman"/>
          <w:lang w:eastAsia="zh-CN"/>
        </w:rPr>
        <w:t>长期随访</w:t>
      </w:r>
    </w:p>
    <w:p w14:paraId="15432E5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临床开发项目中未开展独立的长期随访研究，本报告周期内未从长期随访中获得新的安全性资料。</w:t>
      </w:r>
    </w:p>
    <w:p w14:paraId="4D568BFD"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8.4 </w:t>
      </w:r>
      <w:r w:rsidRPr="00CA09A6">
        <w:rPr>
          <w:rFonts w:ascii="Times New Roman" w:eastAsia="宋体" w:hAnsi="Times New Roman" w:cs="Times New Roman"/>
          <w:lang w:eastAsia="zh-CN"/>
        </w:rPr>
        <w:t>研究药物的其他治疗应用</w:t>
      </w:r>
    </w:p>
    <w:p w14:paraId="0C45397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截至本报告期结束，除</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研究和</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研究外，</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未用于其他治疗应用项目。本报告周期内未开展同情用药、扩展用药、研究者发起研究或其他特殊治疗使用项目，因此未获得来自其他治疗应用的新的安全性资料。</w:t>
      </w:r>
    </w:p>
    <w:p w14:paraId="56BA2175"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lastRenderedPageBreak/>
        <w:t xml:space="preserve">8.5 </w:t>
      </w:r>
      <w:r w:rsidRPr="00CA09A6">
        <w:rPr>
          <w:rFonts w:ascii="Times New Roman" w:eastAsia="宋体" w:hAnsi="Times New Roman" w:cs="Times New Roman"/>
          <w:lang w:eastAsia="zh-CN"/>
        </w:rPr>
        <w:t>与联合治疗相关的新的安全性数据</w:t>
      </w:r>
    </w:p>
    <w:p w14:paraId="3DA26B2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作为联合治疗方案组成部分用于</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研究，主要安全性发现见第</w:t>
      </w:r>
      <w:r w:rsidRPr="003E7EB4">
        <w:rPr>
          <w:rFonts w:ascii="Times New Roman" w:eastAsia="宋体" w:hAnsi="Times New Roman" w:cs="Times New Roman"/>
          <w:sz w:val="22"/>
          <w:szCs w:val="24"/>
          <w:lang w:eastAsia="zh-CN"/>
        </w:rPr>
        <w:t>8.2</w:t>
      </w:r>
      <w:r w:rsidRPr="003E7EB4">
        <w:rPr>
          <w:rFonts w:ascii="Times New Roman" w:eastAsia="宋体" w:hAnsi="Times New Roman" w:cs="Times New Roman"/>
          <w:sz w:val="22"/>
          <w:szCs w:val="24"/>
          <w:lang w:eastAsia="zh-CN"/>
        </w:rPr>
        <w:t>节。</w:t>
      </w:r>
    </w:p>
    <w:p w14:paraId="1AF6B036" w14:textId="3E5A156B"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日，获得提示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与卡铂及培美曲塞联合应用产生新的、明确协同毒性或影响联合治疗继续开展的重大安全性风险的资料。</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研究中观察到的血液学毒性主要需结合卡铂及培美曲塞的已知骨髓抑制风险进行解释；感染性肺炎已纳入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重要安全性问题的整体评估。</w:t>
      </w:r>
    </w:p>
    <w:p w14:paraId="04D2BBB2"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9.</w:t>
      </w:r>
      <w:r w:rsidRPr="003E7EB4">
        <w:rPr>
          <w:rFonts w:ascii="Times New Roman" w:eastAsia="宋体" w:hAnsi="Times New Roman" w:cs="Times New Roman"/>
          <w:sz w:val="28"/>
          <w:szCs w:val="24"/>
          <w:lang w:eastAsia="zh-CN"/>
        </w:rPr>
        <w:t>非干预性研究的安全性结果</w:t>
      </w:r>
    </w:p>
    <w:p w14:paraId="2377585C"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尚未开展非干预性研究，本报告周期内未获得来自非干预性研究的新增安全性资料。</w:t>
      </w:r>
    </w:p>
    <w:p w14:paraId="348579D8"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10.</w:t>
      </w:r>
      <w:r w:rsidRPr="003E7EB4">
        <w:rPr>
          <w:rFonts w:ascii="Times New Roman" w:eastAsia="宋体" w:hAnsi="Times New Roman" w:cs="Times New Roman"/>
          <w:sz w:val="28"/>
          <w:szCs w:val="24"/>
          <w:lang w:eastAsia="zh-CN"/>
        </w:rPr>
        <w:t>其他临床试验</w:t>
      </w:r>
      <w:r w:rsidRPr="003E7EB4">
        <w:rPr>
          <w:rFonts w:ascii="Times New Roman" w:eastAsia="宋体" w:hAnsi="Times New Roman" w:cs="Times New Roman"/>
          <w:sz w:val="28"/>
          <w:szCs w:val="24"/>
          <w:lang w:eastAsia="zh-CN"/>
        </w:rPr>
        <w:t>/</w:t>
      </w:r>
      <w:r w:rsidRPr="003E7EB4">
        <w:rPr>
          <w:rFonts w:ascii="Times New Roman" w:eastAsia="宋体" w:hAnsi="Times New Roman" w:cs="Times New Roman"/>
          <w:sz w:val="28"/>
          <w:szCs w:val="24"/>
          <w:lang w:eastAsia="zh-CN"/>
        </w:rPr>
        <w:t>研究的安全性信息</w:t>
      </w:r>
    </w:p>
    <w:p w14:paraId="7FA024B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本报告周期内，除</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研究和</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研究外，申办者未开展其他</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相关临床试验或临床研究，本报告周期内未从其他临床试验或研究中获得新的安全性信息。</w:t>
      </w:r>
    </w:p>
    <w:p w14:paraId="3DAC703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11.</w:t>
      </w:r>
      <w:r w:rsidRPr="003E7EB4">
        <w:rPr>
          <w:rFonts w:ascii="Times New Roman" w:eastAsia="宋体" w:hAnsi="Times New Roman" w:cs="Times New Roman"/>
          <w:sz w:val="28"/>
          <w:szCs w:val="24"/>
          <w:lang w:eastAsia="zh-CN"/>
        </w:rPr>
        <w:t>上市后的安全性发现</w:t>
      </w:r>
    </w:p>
    <w:p w14:paraId="1B5AE18D"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尚未在任何国家或地区获得上市批准，因此本报告周期内无上市后安全性发现。</w:t>
      </w:r>
    </w:p>
    <w:p w14:paraId="088BAEB3"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12.</w:t>
      </w:r>
      <w:r w:rsidRPr="003E7EB4">
        <w:rPr>
          <w:rFonts w:ascii="Times New Roman" w:eastAsia="宋体" w:hAnsi="Times New Roman" w:cs="Times New Roman"/>
          <w:sz w:val="28"/>
          <w:szCs w:val="24"/>
          <w:lang w:eastAsia="zh-CN"/>
        </w:rPr>
        <w:t>非临床数据</w:t>
      </w:r>
    </w:p>
    <w:p w14:paraId="71B9BFA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未开展或完成产生重大安全性影响的新增非临床研究，包括体外药理学、体内药理学、一般毒理学、安全药理学、生殖毒性、遗传毒性、致癌性或其他相关非临床安全性研究。</w:t>
      </w:r>
    </w:p>
    <w:p w14:paraId="7DFA2D1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本报告周期内，未获得提示需修改临床研究方案、更新研究者手册非临床安全性特征、采取新的风险控制措施或改变当前总体获益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风险判断的非临床安全性发现。</w:t>
      </w:r>
    </w:p>
    <w:p w14:paraId="01A12A92"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13.</w:t>
      </w:r>
      <w:r w:rsidRPr="003E7EB4">
        <w:rPr>
          <w:rFonts w:ascii="Times New Roman" w:eastAsia="宋体" w:hAnsi="Times New Roman" w:cs="Times New Roman"/>
          <w:sz w:val="28"/>
          <w:szCs w:val="24"/>
          <w:lang w:eastAsia="zh-CN"/>
        </w:rPr>
        <w:t>文献</w:t>
      </w:r>
    </w:p>
    <w:p w14:paraId="1EEADAB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本报告周期内，申办者未获得提示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存在新的重大安全性风险或需改变当前获益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风险判断的文献资料。</w:t>
      </w:r>
    </w:p>
    <w:p w14:paraId="32D5506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同类</w:t>
      </w:r>
      <w:r w:rsidRPr="003E7EB4">
        <w:rPr>
          <w:rFonts w:ascii="Times New Roman" w:eastAsia="宋体" w:hAnsi="Times New Roman" w:cs="Times New Roman"/>
          <w:sz w:val="22"/>
          <w:szCs w:val="24"/>
          <w:lang w:eastAsia="zh-CN"/>
        </w:rPr>
        <w:t>PD-1/PD-L1</w:t>
      </w:r>
      <w:r w:rsidRPr="003E7EB4">
        <w:rPr>
          <w:rFonts w:ascii="Times New Roman" w:eastAsia="宋体" w:hAnsi="Times New Roman" w:cs="Times New Roman"/>
          <w:sz w:val="22"/>
          <w:szCs w:val="24"/>
          <w:lang w:eastAsia="zh-CN"/>
        </w:rPr>
        <w:t>免疫检查点抑制剂文献中已知存在免疫介导性肺炎、肝炎、结肠炎、内分泌系统病变、皮肤反应及输液相关反应等风险。</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目前观察到的感染性肺炎、药物诱导的</w:t>
      </w:r>
      <w:r w:rsidRPr="003E7EB4">
        <w:rPr>
          <w:rFonts w:ascii="Times New Roman" w:eastAsia="宋体" w:hAnsi="Times New Roman" w:cs="Times New Roman"/>
          <w:sz w:val="22"/>
          <w:szCs w:val="24"/>
          <w:lang w:eastAsia="zh-CN"/>
        </w:rPr>
        <w:lastRenderedPageBreak/>
        <w:t>肝损伤、腹泻、皮疹、甲状腺功能异常及肝功能相关实验室指标异常等事件总体与该类药物已知风险谱相一致。</w:t>
      </w:r>
    </w:p>
    <w:p w14:paraId="3C79A3E5"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14.</w:t>
      </w:r>
      <w:r w:rsidRPr="003E7EB4">
        <w:rPr>
          <w:rFonts w:ascii="Times New Roman" w:eastAsia="宋体" w:hAnsi="Times New Roman" w:cs="Times New Roman"/>
          <w:sz w:val="28"/>
          <w:szCs w:val="24"/>
          <w:lang w:eastAsia="zh-CN"/>
        </w:rPr>
        <w:t>其他</w:t>
      </w:r>
      <w:r w:rsidRPr="003E7EB4">
        <w:rPr>
          <w:rFonts w:ascii="Times New Roman" w:eastAsia="宋体" w:hAnsi="Times New Roman" w:cs="Times New Roman"/>
          <w:sz w:val="28"/>
          <w:szCs w:val="24"/>
          <w:lang w:eastAsia="zh-CN"/>
        </w:rPr>
        <w:t>DSUR</w:t>
      </w:r>
    </w:p>
    <w:p w14:paraId="219153A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截至本报告期结束，申办者未在其他国家或地区单独提交涵盖</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的其他研发期间安全性更新报告，本报告周期内未从其他</w:t>
      </w:r>
      <w:r w:rsidRPr="003E7EB4">
        <w:rPr>
          <w:rFonts w:ascii="Times New Roman" w:eastAsia="宋体" w:hAnsi="Times New Roman" w:cs="Times New Roman"/>
          <w:sz w:val="22"/>
          <w:szCs w:val="24"/>
          <w:lang w:eastAsia="zh-CN"/>
        </w:rPr>
        <w:t>DSUR</w:t>
      </w:r>
      <w:r w:rsidRPr="003E7EB4">
        <w:rPr>
          <w:rFonts w:ascii="Times New Roman" w:eastAsia="宋体" w:hAnsi="Times New Roman" w:cs="Times New Roman"/>
          <w:sz w:val="22"/>
          <w:szCs w:val="24"/>
          <w:lang w:eastAsia="zh-CN"/>
        </w:rPr>
        <w:t>获得新的安全性信息。</w:t>
      </w:r>
    </w:p>
    <w:p w14:paraId="5F44274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15.</w:t>
      </w:r>
      <w:r w:rsidRPr="003E7EB4">
        <w:rPr>
          <w:rFonts w:ascii="Times New Roman" w:eastAsia="宋体" w:hAnsi="Times New Roman" w:cs="Times New Roman"/>
          <w:sz w:val="28"/>
          <w:szCs w:val="24"/>
          <w:lang w:eastAsia="zh-CN"/>
        </w:rPr>
        <w:t>缺乏疗效</w:t>
      </w:r>
    </w:p>
    <w:p w14:paraId="54A4C728"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本报告周期内，未获得提示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因缺乏疗效而导致试验参与者面临不合理安全性风险的资料。</w:t>
      </w:r>
    </w:p>
    <w:p w14:paraId="507931FB"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已完成的</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单药治疗晚期实体瘤试验参与者观察到初步抗肿瘤活性，支持将</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作为后续临床研究推荐给药方案。正在进行的</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联合卡铂和培美曲塞治疗晚期非鳞状非小细胞肺癌试验参与者亦观察到初步抗肿瘤活性，现有资料未提示因缺乏疗效需终止研究或显著调整临床开发策略。</w:t>
      </w:r>
    </w:p>
    <w:p w14:paraId="547F4BF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鉴于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仍处于临床开发阶段，其有效性结论尚需结合后续研究中更多试验参与者数据和更长随访时间进一步确认。</w:t>
      </w:r>
    </w:p>
    <w:p w14:paraId="32921E25"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16.</w:t>
      </w:r>
      <w:r w:rsidRPr="003E7EB4">
        <w:rPr>
          <w:rFonts w:ascii="Times New Roman" w:eastAsia="宋体" w:hAnsi="Times New Roman" w:cs="Times New Roman"/>
          <w:sz w:val="28"/>
          <w:szCs w:val="24"/>
          <w:lang w:eastAsia="zh-CN"/>
        </w:rPr>
        <w:t>区域特有信息</w:t>
      </w:r>
    </w:p>
    <w:p w14:paraId="2A9B3BF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发生区域监管机构因安全性原因要求暂停研究、限制入组、修改给药方案、终止临床开发或采取其他重大安全性措施的情况。区域监管要求中关注的死亡、因不良事件退出研究、严重不良反应累计汇总及方案重大修订等信息见区域附录。</w:t>
      </w:r>
    </w:p>
    <w:p w14:paraId="20597536"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17.</w:t>
      </w:r>
      <w:r w:rsidRPr="003E7EB4">
        <w:rPr>
          <w:rFonts w:ascii="Times New Roman" w:eastAsia="宋体" w:hAnsi="Times New Roman" w:cs="Times New Roman"/>
          <w:sz w:val="28"/>
          <w:szCs w:val="24"/>
          <w:lang w:eastAsia="zh-CN"/>
        </w:rPr>
        <w:t>最新信息</w:t>
      </w:r>
    </w:p>
    <w:p w14:paraId="22F26EB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w:t>
      </w:r>
      <w:r w:rsidRPr="003E7EB4">
        <w:rPr>
          <w:rFonts w:ascii="Times New Roman" w:eastAsia="宋体" w:hAnsi="Times New Roman" w:cs="Times New Roman"/>
          <w:sz w:val="22"/>
          <w:szCs w:val="24"/>
          <w:lang w:eastAsia="zh-CN"/>
        </w:rPr>
        <w:t>DSUR</w:t>
      </w:r>
      <w:r w:rsidRPr="003E7EB4">
        <w:rPr>
          <w:rFonts w:ascii="Times New Roman" w:eastAsia="宋体" w:hAnsi="Times New Roman" w:cs="Times New Roman"/>
          <w:sz w:val="22"/>
          <w:szCs w:val="24"/>
          <w:lang w:eastAsia="zh-CN"/>
        </w:rPr>
        <w:t>数据锁定点（</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日）之后，申办者收到一例</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重度疑似免疫相关性心肌炎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的初始严重不良事件（</w:t>
      </w:r>
      <w:r w:rsidRPr="003E7EB4">
        <w:rPr>
          <w:rFonts w:ascii="Times New Roman" w:eastAsia="宋体" w:hAnsi="Times New Roman" w:cs="Times New Roman"/>
          <w:sz w:val="22"/>
          <w:szCs w:val="24"/>
          <w:lang w:eastAsia="zh-CN"/>
        </w:rPr>
        <w:t>SAE</w:t>
      </w:r>
      <w:r w:rsidRPr="003E7EB4">
        <w:rPr>
          <w:rFonts w:ascii="Times New Roman" w:eastAsia="宋体" w:hAnsi="Times New Roman" w:cs="Times New Roman"/>
          <w:sz w:val="22"/>
          <w:szCs w:val="24"/>
          <w:lang w:eastAsia="zh-CN"/>
        </w:rPr>
        <w:t>）报告。该病例为</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62</w:t>
      </w:r>
      <w:r w:rsidRPr="003E7EB4">
        <w:rPr>
          <w:rFonts w:ascii="Times New Roman" w:eastAsia="宋体" w:hAnsi="Times New Roman" w:cs="Times New Roman"/>
          <w:sz w:val="22"/>
          <w:szCs w:val="24"/>
          <w:lang w:eastAsia="zh-CN"/>
        </w:rPr>
        <w:t>岁男性试验参与者（试验参与者识别码：</w:t>
      </w:r>
      <w:r w:rsidRPr="003E7EB4">
        <w:rPr>
          <w:rFonts w:ascii="Times New Roman" w:eastAsia="宋体" w:hAnsi="Times New Roman" w:cs="Times New Roman"/>
          <w:sz w:val="22"/>
          <w:szCs w:val="24"/>
          <w:lang w:eastAsia="zh-CN"/>
        </w:rPr>
        <w:t>01001</w:t>
      </w:r>
      <w:r w:rsidRPr="003E7EB4">
        <w:rPr>
          <w:rFonts w:ascii="Times New Roman" w:eastAsia="宋体" w:hAnsi="Times New Roman" w:cs="Times New Roman"/>
          <w:sz w:val="22"/>
          <w:szCs w:val="24"/>
          <w:lang w:eastAsia="zh-CN"/>
        </w:rPr>
        <w:t>，姓名缩写：</w:t>
      </w:r>
      <w:r w:rsidRPr="003E7EB4">
        <w:rPr>
          <w:rFonts w:ascii="Times New Roman" w:eastAsia="宋体" w:hAnsi="Times New Roman" w:cs="Times New Roman"/>
          <w:sz w:val="22"/>
          <w:szCs w:val="24"/>
          <w:lang w:eastAsia="zh-CN"/>
        </w:rPr>
        <w:t>DBSG</w:t>
      </w:r>
      <w:r w:rsidRPr="003E7EB4">
        <w:rPr>
          <w:rFonts w:ascii="Times New Roman" w:eastAsia="宋体" w:hAnsi="Times New Roman" w:cs="Times New Roman"/>
          <w:sz w:val="22"/>
          <w:szCs w:val="24"/>
          <w:lang w:eastAsia="zh-CN"/>
        </w:rPr>
        <w:t>），在</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研究中接受</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）联合卡铂和培美曲塞方案治疗，至事件发生时已累计完成</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个周期的治疗。</w:t>
      </w:r>
    </w:p>
    <w:p w14:paraId="498E0AA4"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根据初始报告，该试验参与者在给药后突发重度胸闷与气促，急查心肌损伤标志物（肌钙蛋白</w:t>
      </w:r>
      <w:r w:rsidRPr="003E7EB4">
        <w:rPr>
          <w:rFonts w:ascii="Times New Roman" w:eastAsia="宋体" w:hAnsi="Times New Roman" w:cs="Times New Roman"/>
          <w:sz w:val="22"/>
          <w:szCs w:val="24"/>
          <w:lang w:eastAsia="zh-CN"/>
        </w:rPr>
        <w:t>T</w:t>
      </w:r>
      <w:r w:rsidRPr="003E7EB4">
        <w:rPr>
          <w:rFonts w:ascii="Times New Roman" w:eastAsia="宋体" w:hAnsi="Times New Roman" w:cs="Times New Roman"/>
          <w:sz w:val="22"/>
          <w:szCs w:val="24"/>
          <w:lang w:eastAsia="zh-CN"/>
        </w:rPr>
        <w:t>、肌酸激酶同工酶）显著升高，心电图提示频发室性心律失常。试验参与者既往有</w:t>
      </w:r>
      <w:r w:rsidRPr="003E7EB4">
        <w:rPr>
          <w:rFonts w:ascii="Times New Roman" w:eastAsia="宋体" w:hAnsi="Times New Roman" w:cs="Times New Roman"/>
          <w:sz w:val="22"/>
          <w:szCs w:val="24"/>
          <w:lang w:eastAsia="zh-CN"/>
        </w:rPr>
        <w:t>10</w:t>
      </w:r>
      <w:r w:rsidRPr="003E7EB4">
        <w:rPr>
          <w:rFonts w:ascii="Times New Roman" w:eastAsia="宋体" w:hAnsi="Times New Roman" w:cs="Times New Roman"/>
          <w:sz w:val="22"/>
          <w:szCs w:val="24"/>
          <w:lang w:eastAsia="zh-CN"/>
        </w:rPr>
        <w:t>年高血压史，但在事件发生前心脏功能评估正常。</w:t>
      </w:r>
    </w:p>
    <w:p w14:paraId="693B1D34"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由于免疫相关性心肌炎是免疫检查点抑制剂已知虽罕见但可致命的严重毒性，研究者高度怀疑该事件与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相关，并已紧急暂停所有研究给药，将试验参与者转入心血管重症监护室（</w:t>
      </w:r>
      <w:r w:rsidRPr="003E7EB4">
        <w:rPr>
          <w:rFonts w:ascii="Times New Roman" w:eastAsia="宋体" w:hAnsi="Times New Roman" w:cs="Times New Roman"/>
          <w:sz w:val="22"/>
          <w:szCs w:val="24"/>
          <w:lang w:eastAsia="zh-CN"/>
        </w:rPr>
        <w:t>CCU</w:t>
      </w:r>
      <w:r w:rsidRPr="003E7EB4">
        <w:rPr>
          <w:rFonts w:ascii="Times New Roman" w:eastAsia="宋体" w:hAnsi="Times New Roman" w:cs="Times New Roman"/>
          <w:sz w:val="22"/>
          <w:szCs w:val="24"/>
          <w:lang w:eastAsia="zh-CN"/>
        </w:rPr>
        <w:t>）给予大剂量甲泼尼龙冲击及心肌营养支持治疗。</w:t>
      </w:r>
    </w:p>
    <w:p w14:paraId="1BDC35C0" w14:textId="38ADCB2A"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lastRenderedPageBreak/>
        <w:t>目前该试验参与者生命体征已趋于平稳。由于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免疫相关性心肌炎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当前尚未被列入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的安全性参考信息（</w:t>
      </w:r>
      <w:r w:rsidRPr="003E7EB4">
        <w:rPr>
          <w:rFonts w:ascii="Times New Roman" w:eastAsia="宋体" w:hAnsi="Times New Roman" w:cs="Times New Roman"/>
          <w:sz w:val="22"/>
          <w:szCs w:val="24"/>
          <w:lang w:eastAsia="zh-CN"/>
        </w:rPr>
        <w:t>RS</w:t>
      </w:r>
      <w:r w:rsidR="00D401BA"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），该事件将被按疑似非预期严重不良反应（</w:t>
      </w:r>
      <w:r w:rsidRPr="003E7EB4">
        <w:rPr>
          <w:rFonts w:ascii="Times New Roman" w:eastAsia="宋体" w:hAnsi="Times New Roman" w:cs="Times New Roman"/>
          <w:sz w:val="22"/>
          <w:szCs w:val="24"/>
          <w:lang w:eastAsia="zh-CN"/>
        </w:rPr>
        <w:t>SUSAR</w:t>
      </w:r>
      <w:r w:rsidRPr="003E7EB4">
        <w:rPr>
          <w:rFonts w:ascii="Times New Roman" w:eastAsia="宋体" w:hAnsi="Times New Roman" w:cs="Times New Roman"/>
          <w:sz w:val="22"/>
          <w:szCs w:val="24"/>
          <w:lang w:eastAsia="zh-CN"/>
        </w:rPr>
        <w:t>）进行紧急报告。申办者正在密切跟进随访信息，以全面评估该罕见严重事件的临床转归及其对整体研发项目获益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风险平衡的潜在影响。</w:t>
      </w:r>
    </w:p>
    <w:p w14:paraId="6A06C2C4"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18.</w:t>
      </w:r>
      <w:r w:rsidRPr="003E7EB4">
        <w:rPr>
          <w:rFonts w:ascii="Times New Roman" w:eastAsia="宋体" w:hAnsi="Times New Roman" w:cs="Times New Roman"/>
          <w:sz w:val="28"/>
          <w:szCs w:val="24"/>
          <w:lang w:eastAsia="zh-CN"/>
        </w:rPr>
        <w:t>整体安全性评估</w:t>
      </w:r>
    </w:p>
    <w:p w14:paraId="206AC600"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18.1 </w:t>
      </w:r>
      <w:r w:rsidRPr="00CA09A6">
        <w:rPr>
          <w:rFonts w:ascii="Times New Roman" w:eastAsia="宋体" w:hAnsi="Times New Roman" w:cs="Times New Roman"/>
          <w:lang w:eastAsia="zh-CN"/>
        </w:rPr>
        <w:t>风险评估</w:t>
      </w:r>
    </w:p>
    <w:p w14:paraId="3B3ABDF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本报告周期内，用于安全性评估的核心新增信息来源于</w:t>
      </w:r>
      <w:r w:rsidRPr="003E7EB4">
        <w:rPr>
          <w:rFonts w:ascii="Times New Roman" w:eastAsia="宋体" w:hAnsi="Times New Roman" w:cs="Times New Roman"/>
          <w:sz w:val="22"/>
          <w:szCs w:val="24"/>
          <w:lang w:eastAsia="zh-CN"/>
        </w:rPr>
        <w:t xml:space="preserve"> OOJ-VT8802-01 </w:t>
      </w:r>
      <w:r w:rsidRPr="003E7EB4">
        <w:rPr>
          <w:rFonts w:ascii="Times New Roman" w:eastAsia="宋体" w:hAnsi="Times New Roman" w:cs="Times New Roman"/>
          <w:sz w:val="22"/>
          <w:szCs w:val="24"/>
          <w:lang w:eastAsia="zh-CN"/>
        </w:rPr>
        <w:t>研究完成后的定稿数据，以及</w:t>
      </w:r>
      <w:r w:rsidRPr="003E7EB4">
        <w:rPr>
          <w:rFonts w:ascii="Times New Roman" w:eastAsia="宋体" w:hAnsi="Times New Roman" w:cs="Times New Roman"/>
          <w:sz w:val="22"/>
          <w:szCs w:val="24"/>
          <w:lang w:eastAsia="zh-CN"/>
        </w:rPr>
        <w:t xml:space="preserve"> OOJ-VT8802-02 </w:t>
      </w:r>
      <w:r w:rsidRPr="003E7EB4">
        <w:rPr>
          <w:rFonts w:ascii="Times New Roman" w:eastAsia="宋体" w:hAnsi="Times New Roman" w:cs="Times New Roman"/>
          <w:sz w:val="22"/>
          <w:szCs w:val="24"/>
          <w:lang w:eastAsia="zh-CN"/>
        </w:rPr>
        <w:t>研究启动后首次收集的联合治疗暴露数据（累计新增覆盖</w:t>
      </w:r>
      <w:r w:rsidRPr="003E7EB4">
        <w:rPr>
          <w:rFonts w:ascii="Times New Roman" w:eastAsia="宋体" w:hAnsi="Times New Roman" w:cs="Times New Roman"/>
          <w:sz w:val="22"/>
          <w:szCs w:val="24"/>
          <w:lang w:eastAsia="zh-CN"/>
        </w:rPr>
        <w:t xml:space="preserve"> 50 </w:t>
      </w:r>
      <w:r w:rsidRPr="003E7EB4">
        <w:rPr>
          <w:rFonts w:ascii="Times New Roman" w:eastAsia="宋体" w:hAnsi="Times New Roman" w:cs="Times New Roman"/>
          <w:sz w:val="22"/>
          <w:szCs w:val="24"/>
          <w:lang w:eastAsia="zh-CN"/>
        </w:rPr>
        <w:t>例试验参与者）。综合本期新增数据与既往资料，</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的总体安全性特征仍与已知</w:t>
      </w:r>
      <w:r w:rsidRPr="003E7EB4">
        <w:rPr>
          <w:rFonts w:ascii="Times New Roman" w:eastAsia="宋体" w:hAnsi="Times New Roman" w:cs="Times New Roman"/>
          <w:sz w:val="22"/>
          <w:szCs w:val="24"/>
          <w:lang w:eastAsia="zh-CN"/>
        </w:rPr>
        <w:t xml:space="preserve"> PD-1/PD-L1 </w:t>
      </w:r>
      <w:r w:rsidRPr="003E7EB4">
        <w:rPr>
          <w:rFonts w:ascii="Times New Roman" w:eastAsia="宋体" w:hAnsi="Times New Roman" w:cs="Times New Roman"/>
          <w:sz w:val="22"/>
          <w:szCs w:val="24"/>
          <w:lang w:eastAsia="zh-CN"/>
        </w:rPr>
        <w:t>抑制剂风险谱一致，本周期内未发现需要暂停、限制或终止临床开发的新重大安全性风险。</w:t>
      </w:r>
    </w:p>
    <w:p w14:paraId="5795E5D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针对本报告周期内的新增安全性发现，重点评估如下：</w:t>
      </w:r>
    </w:p>
    <w:p w14:paraId="2C9F961E" w14:textId="1CE8CCCD"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新确认的重要风险及</w:t>
      </w:r>
      <w:r w:rsidRPr="003E7EB4">
        <w:rPr>
          <w:rFonts w:ascii="Times New Roman" w:eastAsia="宋体" w:hAnsi="Times New Roman" w:cs="Times New Roman"/>
          <w:sz w:val="22"/>
          <w:szCs w:val="24"/>
          <w:lang w:eastAsia="zh-CN"/>
        </w:rPr>
        <w:t xml:space="preserve"> RS</w:t>
      </w:r>
      <w:r w:rsidR="007643C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更新：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本期安全性评估的最重要发现是对感染性肺炎及药物诱导的肝损伤信号的最终确证。随着本期内</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期研究的收尾（确证</w:t>
      </w:r>
      <w:r w:rsidRPr="003E7EB4">
        <w:rPr>
          <w:rFonts w:ascii="Times New Roman" w:eastAsia="宋体" w:hAnsi="Times New Roman" w:cs="Times New Roman"/>
          <w:sz w:val="22"/>
          <w:szCs w:val="24"/>
          <w:lang w:eastAsia="zh-CN"/>
        </w:rPr>
        <w:t xml:space="preserve"> 2 </w:t>
      </w:r>
      <w:r w:rsidRPr="003E7EB4">
        <w:rPr>
          <w:rFonts w:ascii="Times New Roman" w:eastAsia="宋体" w:hAnsi="Times New Roman" w:cs="Times New Roman"/>
          <w:sz w:val="22"/>
          <w:szCs w:val="24"/>
          <w:lang w:eastAsia="zh-CN"/>
        </w:rPr>
        <w:t>例次相关肺炎及</w:t>
      </w:r>
      <w:r w:rsidRPr="003E7EB4">
        <w:rPr>
          <w:rFonts w:ascii="Times New Roman" w:eastAsia="宋体" w:hAnsi="Times New Roman" w:cs="Times New Roman"/>
          <w:sz w:val="22"/>
          <w:szCs w:val="24"/>
          <w:lang w:eastAsia="zh-CN"/>
        </w:rPr>
        <w:t xml:space="preserve"> 1 </w:t>
      </w:r>
      <w:r w:rsidRPr="003E7EB4">
        <w:rPr>
          <w:rFonts w:ascii="Times New Roman" w:eastAsia="宋体" w:hAnsi="Times New Roman" w:cs="Times New Roman"/>
          <w:sz w:val="22"/>
          <w:szCs w:val="24"/>
          <w:lang w:eastAsia="zh-CN"/>
        </w:rPr>
        <w:t>例次相关肝损伤）与</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期研究的推进（新增</w:t>
      </w:r>
      <w:r w:rsidRPr="003E7EB4">
        <w:rPr>
          <w:rFonts w:ascii="Times New Roman" w:eastAsia="宋体" w:hAnsi="Times New Roman" w:cs="Times New Roman"/>
          <w:sz w:val="22"/>
          <w:szCs w:val="24"/>
          <w:lang w:eastAsia="zh-CN"/>
        </w:rPr>
        <w:t xml:space="preserve"> 1 </w:t>
      </w:r>
      <w:r w:rsidRPr="003E7EB4">
        <w:rPr>
          <w:rFonts w:ascii="Times New Roman" w:eastAsia="宋体" w:hAnsi="Times New Roman" w:cs="Times New Roman"/>
          <w:sz w:val="22"/>
          <w:szCs w:val="24"/>
          <w:lang w:eastAsia="zh-CN"/>
        </w:rPr>
        <w:t>例次相关肺炎），上述风险在本周期内呈现集中确证与重现。基于此期评估，申办者已将其升级为</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的</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重要已识别风险</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，并拟纳入后续安全性参考信息（</w:t>
      </w:r>
      <w:r w:rsidRPr="003E7EB4">
        <w:rPr>
          <w:rFonts w:ascii="Times New Roman" w:eastAsia="宋体" w:hAnsi="Times New Roman" w:cs="Times New Roman"/>
          <w:sz w:val="22"/>
          <w:szCs w:val="24"/>
          <w:lang w:eastAsia="zh-CN"/>
        </w:rPr>
        <w:t>RS</w:t>
      </w:r>
      <w:r w:rsidR="007643C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）作为预期严重不良反应进行重点监测。</w:t>
      </w:r>
    </w:p>
    <w:p w14:paraId="014EC00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首次联合治疗的安全性特征：</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本周期内首次获得了</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联合化疗（卡铂</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培美曲塞）的安全性数据。当前观察到的血液学毒性（如骨髓抑制相关事件）主要与背景化疗药的已知毒性相一致，尚未发现</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在联合用药中导致显著的协同毒性或额外增加不可接受的骨髓抑制风险。</w:t>
      </w:r>
    </w:p>
    <w:p w14:paraId="4529E985"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既有安全性问题的演变：</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对于既往已识别的常见免疫相关风险事件（如输液相关反应、皮疹、腹泻等），本周期内未观察到其发生频率、严重程度或转归出现具有临床意义的不利改变。此外，本期内亦未发生药物相关死亡事件，未发现与特殊人群暴露、用药错误或生产质量相关的新增风险信号。</w:t>
      </w:r>
    </w:p>
    <w:p w14:paraId="73F05B65"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18.2 </w:t>
      </w:r>
      <w:r w:rsidRPr="00CA09A6">
        <w:rPr>
          <w:rFonts w:ascii="Times New Roman" w:eastAsia="宋体" w:hAnsi="Times New Roman" w:cs="Times New Roman"/>
          <w:lang w:eastAsia="zh-CN"/>
        </w:rPr>
        <w:t>获益</w:t>
      </w:r>
      <w:r w:rsidRPr="00CA09A6">
        <w:rPr>
          <w:rFonts w:ascii="Times New Roman" w:eastAsia="宋体" w:hAnsi="Times New Roman" w:cs="Times New Roman"/>
          <w:lang w:eastAsia="zh-CN"/>
        </w:rPr>
        <w:t>-</w:t>
      </w:r>
      <w:r w:rsidRPr="00CA09A6">
        <w:rPr>
          <w:rFonts w:ascii="Times New Roman" w:eastAsia="宋体" w:hAnsi="Times New Roman" w:cs="Times New Roman"/>
          <w:lang w:eastAsia="zh-CN"/>
        </w:rPr>
        <w:t>风险考量</w:t>
      </w:r>
    </w:p>
    <w:p w14:paraId="66EF3351"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相较于上一</w:t>
      </w:r>
      <w:r w:rsidRPr="003E7EB4">
        <w:rPr>
          <w:rFonts w:ascii="Times New Roman" w:eastAsia="宋体" w:hAnsi="Times New Roman" w:cs="Times New Roman"/>
          <w:sz w:val="22"/>
          <w:szCs w:val="24"/>
          <w:lang w:eastAsia="zh-CN"/>
        </w:rPr>
        <w:t xml:space="preserve"> DSUR</w:t>
      </w:r>
      <w:r w:rsidRPr="003E7EB4">
        <w:rPr>
          <w:rFonts w:ascii="Times New Roman" w:eastAsia="宋体" w:hAnsi="Times New Roman" w:cs="Times New Roman"/>
          <w:sz w:val="22"/>
          <w:szCs w:val="24"/>
          <w:lang w:eastAsia="zh-CN"/>
        </w:rPr>
        <w:t>，基于本报告周期内获得的最新有效性和安全性证据，</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风险平衡未发生不利改变。</w:t>
      </w:r>
    </w:p>
    <w:p w14:paraId="01908D8F" w14:textId="661EAF28"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风险可控性：</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尽管本报告周期内基于积累的证据，拟将感染性肺炎及药物诱导的肝损伤纳入</w:t>
      </w:r>
      <w:r w:rsidRPr="003E7EB4">
        <w:rPr>
          <w:rFonts w:ascii="Times New Roman" w:eastAsia="宋体" w:hAnsi="Times New Roman" w:cs="Times New Roman"/>
          <w:sz w:val="22"/>
          <w:szCs w:val="24"/>
          <w:lang w:eastAsia="zh-CN"/>
        </w:rPr>
        <w:t xml:space="preserve"> RS</w:t>
      </w:r>
      <w:r w:rsidR="00D36E0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作为预期严重不良反应，但现有临床经验表明，上述事件以及其他常见不良反应均可通过方案规定的常规监测、及时停药及标准对症治疗（如糖皮质激素干预）得到有效管理。此外，本期引入的联合化疗方案并未改变</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基础的安全耐受性基调。</w:t>
      </w:r>
    </w:p>
    <w:p w14:paraId="21936657" w14:textId="292242C6"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lastRenderedPageBreak/>
        <w:t>获益证据的增强：</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本报告周期内的新增疗效数据进一步强化了</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的潜在临床获益。</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一方面，</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期研究的完成证实了单药在晚期实体瘤中的初步抗肿瘤活性，并成功确立了</w:t>
      </w:r>
      <w:r w:rsidRPr="003E7EB4">
        <w:rPr>
          <w:rFonts w:ascii="Times New Roman" w:eastAsia="宋体" w:hAnsi="Times New Roman" w:cs="Times New Roman"/>
          <w:sz w:val="22"/>
          <w:szCs w:val="24"/>
          <w:lang w:eastAsia="zh-CN"/>
        </w:rPr>
        <w:t xml:space="preserve"> 3 mg/kg Q3W </w:t>
      </w:r>
      <w:r w:rsidRPr="003E7EB4">
        <w:rPr>
          <w:rFonts w:ascii="Times New Roman" w:eastAsia="宋体" w:hAnsi="Times New Roman" w:cs="Times New Roman"/>
          <w:sz w:val="22"/>
          <w:szCs w:val="24"/>
          <w:lang w:eastAsia="zh-CN"/>
        </w:rPr>
        <w:t>为后续推荐给药方案；另一方面，本期正在进行的联合治疗研究亦迅速展现出令人鼓舞的初步疗效信号（可评价试验参与者</w:t>
      </w:r>
      <w:r w:rsidRPr="003E7EB4">
        <w:rPr>
          <w:rFonts w:ascii="Times New Roman" w:eastAsia="宋体" w:hAnsi="Times New Roman" w:cs="Times New Roman"/>
          <w:sz w:val="22"/>
          <w:szCs w:val="24"/>
          <w:lang w:eastAsia="zh-CN"/>
        </w:rPr>
        <w:t xml:space="preserve"> ORR </w:t>
      </w:r>
      <w:r w:rsidRPr="003E7EB4">
        <w:rPr>
          <w:rFonts w:ascii="Times New Roman" w:eastAsia="宋体" w:hAnsi="Times New Roman" w:cs="Times New Roman"/>
          <w:sz w:val="22"/>
          <w:szCs w:val="24"/>
          <w:lang w:eastAsia="zh-CN"/>
        </w:rPr>
        <w:t>达</w:t>
      </w:r>
      <w:r w:rsidRPr="003E7EB4">
        <w:rPr>
          <w:rFonts w:ascii="Times New Roman" w:eastAsia="宋体" w:hAnsi="Times New Roman" w:cs="Times New Roman"/>
          <w:sz w:val="22"/>
          <w:szCs w:val="24"/>
          <w:lang w:eastAsia="zh-CN"/>
        </w:rPr>
        <w:t xml:space="preserve"> 38.9%</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 xml:space="preserve">DCR </w:t>
      </w:r>
      <w:r w:rsidRPr="003E7EB4">
        <w:rPr>
          <w:rFonts w:ascii="Times New Roman" w:eastAsia="宋体" w:hAnsi="Times New Roman" w:cs="Times New Roman"/>
          <w:sz w:val="22"/>
          <w:szCs w:val="24"/>
          <w:lang w:eastAsia="zh-CN"/>
        </w:rPr>
        <w:t>达</w:t>
      </w:r>
      <w:r w:rsidRPr="003E7EB4">
        <w:rPr>
          <w:rFonts w:ascii="Times New Roman" w:eastAsia="宋体" w:hAnsi="Times New Roman" w:cs="Times New Roman"/>
          <w:sz w:val="22"/>
          <w:szCs w:val="24"/>
          <w:lang w:eastAsia="zh-CN"/>
        </w:rPr>
        <w:t xml:space="preserve"> 83.3%</w:t>
      </w:r>
      <w:r w:rsidRPr="003E7EB4">
        <w:rPr>
          <w:rFonts w:ascii="Times New Roman" w:eastAsia="宋体" w:hAnsi="Times New Roman" w:cs="Times New Roman"/>
          <w:sz w:val="22"/>
          <w:szCs w:val="24"/>
          <w:lang w:eastAsia="zh-CN"/>
        </w:rPr>
        <w:t>），未发现因缺乏疗效而使试验参与者面临不合理风险的证据。</w:t>
      </w:r>
    </w:p>
    <w:p w14:paraId="2EC9E4B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结论：</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综合本报告周期内确认的风险特征与不断增强的获益证据，</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单药及联合治疗方案的总体获益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风险比依然维持正向，支持现有临床开发项目的继续开展。</w:t>
      </w:r>
    </w:p>
    <w:p w14:paraId="1257D593" w14:textId="7D6A2EF6"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19.</w:t>
      </w:r>
      <w:r w:rsidRPr="003E7EB4">
        <w:rPr>
          <w:rFonts w:ascii="Times New Roman" w:eastAsia="宋体" w:hAnsi="Times New Roman" w:cs="Times New Roman"/>
          <w:sz w:val="28"/>
          <w:szCs w:val="24"/>
          <w:lang w:eastAsia="zh-CN"/>
        </w:rPr>
        <w:t>重</w:t>
      </w:r>
      <w:r w:rsidR="006522DA">
        <w:rPr>
          <w:rFonts w:ascii="Times New Roman" w:eastAsia="宋体" w:hAnsi="Times New Roman" w:cs="Times New Roman" w:hint="eastAsia"/>
          <w:sz w:val="28"/>
          <w:szCs w:val="24"/>
          <w:lang w:eastAsia="zh-CN"/>
        </w:rPr>
        <w:t>点</w:t>
      </w:r>
      <w:r w:rsidRPr="003E7EB4">
        <w:rPr>
          <w:rFonts w:ascii="Times New Roman" w:eastAsia="宋体" w:hAnsi="Times New Roman" w:cs="Times New Roman"/>
          <w:sz w:val="28"/>
          <w:szCs w:val="24"/>
          <w:lang w:eastAsia="zh-CN"/>
        </w:rPr>
        <w:t>风险总结</w:t>
      </w:r>
    </w:p>
    <w:p w14:paraId="4EA9341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截至本报告期结束，结合</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累计临床安全性资料，感染性肺炎和药物诱导的肝损伤被列为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在后续临床开发中需要重点关注的重要已识别风险。感染性肺炎在临床研究中累计报告</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例次经研究者判断与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相关的严重不良反应；药物诱导的肝损伤在</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研究中报告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相关的严重不良反应。上述两类事件拟纳入后续更新的安全性参考信息，并在后续研究中作为重点风险持续监测。</w:t>
      </w:r>
    </w:p>
    <w:p w14:paraId="4C413E9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此外，腹泻、皮疹、甲状腺功能异常、肝功能相关实验室指标异常及其他免疫相关风险事件在临床研究中已有观察。其中，腹泻目前尚未作为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相关严重不良反应纳入安全性参考信息，但仍应作为后续研究中需持续关注的其他安全性问题。后续应结合累计数据、事件严重程度、转归及与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的因果关系，进一步评估相关事件的风险分类及是否需要更新安全性参考信息。</w:t>
      </w:r>
    </w:p>
    <w:p w14:paraId="7E0A5D1F" w14:textId="77777777" w:rsidR="00946940" w:rsidRPr="003E7EB4" w:rsidRDefault="00000000">
      <w:pPr>
        <w:spacing w:line="348" w:lineRule="auto"/>
        <w:ind w:firstLine="420"/>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相关风险分类、临床依据及后续措施见下表。</w:t>
      </w:r>
    </w:p>
    <w:tbl>
      <w:tblPr>
        <w:tblStyle w:val="afc"/>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1531"/>
        <w:gridCol w:w="2608"/>
        <w:gridCol w:w="3912"/>
      </w:tblGrid>
      <w:tr w:rsidR="00946940" w:rsidRPr="00CA09A6" w14:paraId="5E988320" w14:textId="77777777">
        <w:trPr>
          <w:cantSplit/>
          <w:tblHeader/>
        </w:trPr>
        <w:tc>
          <w:tcPr>
            <w:tcW w:w="1191" w:type="dxa"/>
            <w:shd w:val="clear" w:color="auto" w:fill="DCE6F1"/>
            <w:vAlign w:val="center"/>
          </w:tcPr>
          <w:p w14:paraId="6EA378A7"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b/>
                <w:sz w:val="19"/>
              </w:rPr>
              <w:t>风险分类</w:t>
            </w:r>
          </w:p>
        </w:tc>
        <w:tc>
          <w:tcPr>
            <w:tcW w:w="1531" w:type="dxa"/>
            <w:shd w:val="clear" w:color="auto" w:fill="DCE6F1"/>
            <w:vAlign w:val="center"/>
          </w:tcPr>
          <w:p w14:paraId="10588B64"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b/>
                <w:sz w:val="19"/>
              </w:rPr>
              <w:t>风险</w:t>
            </w:r>
            <w:r w:rsidRPr="00CA09A6">
              <w:rPr>
                <w:rFonts w:ascii="Times New Roman" w:eastAsia="宋体" w:hAnsi="Times New Roman" w:cs="Times New Roman"/>
                <w:b/>
                <w:sz w:val="19"/>
              </w:rPr>
              <w:t>/</w:t>
            </w:r>
            <w:r w:rsidRPr="00CA09A6">
              <w:rPr>
                <w:rFonts w:ascii="Times New Roman" w:eastAsia="宋体" w:hAnsi="Times New Roman" w:cs="Times New Roman"/>
                <w:b/>
                <w:sz w:val="19"/>
              </w:rPr>
              <w:t>事件</w:t>
            </w:r>
          </w:p>
        </w:tc>
        <w:tc>
          <w:tcPr>
            <w:tcW w:w="2608" w:type="dxa"/>
            <w:shd w:val="clear" w:color="auto" w:fill="DCE6F1"/>
            <w:vAlign w:val="center"/>
          </w:tcPr>
          <w:p w14:paraId="2FE84462"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b/>
                <w:sz w:val="19"/>
              </w:rPr>
              <w:t>临床依据</w:t>
            </w:r>
          </w:p>
        </w:tc>
        <w:tc>
          <w:tcPr>
            <w:tcW w:w="3912" w:type="dxa"/>
            <w:shd w:val="clear" w:color="auto" w:fill="DCE6F1"/>
            <w:vAlign w:val="center"/>
          </w:tcPr>
          <w:p w14:paraId="7C944142"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b/>
                <w:sz w:val="19"/>
              </w:rPr>
              <w:t>后续措施</w:t>
            </w:r>
          </w:p>
        </w:tc>
      </w:tr>
      <w:tr w:rsidR="00946940" w:rsidRPr="00CA09A6" w14:paraId="4BB0F787" w14:textId="77777777">
        <w:trPr>
          <w:cantSplit/>
        </w:trPr>
        <w:tc>
          <w:tcPr>
            <w:tcW w:w="1191" w:type="dxa"/>
            <w:vAlign w:val="center"/>
          </w:tcPr>
          <w:p w14:paraId="1BEB5019"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sz w:val="19"/>
              </w:rPr>
              <w:t>重要已识别风险</w:t>
            </w:r>
          </w:p>
        </w:tc>
        <w:tc>
          <w:tcPr>
            <w:tcW w:w="1531" w:type="dxa"/>
            <w:vAlign w:val="center"/>
          </w:tcPr>
          <w:p w14:paraId="2D6C9105"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sz w:val="19"/>
              </w:rPr>
              <w:t>感染性肺炎</w:t>
            </w:r>
          </w:p>
        </w:tc>
        <w:tc>
          <w:tcPr>
            <w:tcW w:w="2608" w:type="dxa"/>
            <w:vAlign w:val="center"/>
          </w:tcPr>
          <w:p w14:paraId="390440A9"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临床研究中累计报告</w:t>
            </w:r>
            <w:r w:rsidRPr="00CA09A6">
              <w:rPr>
                <w:rFonts w:ascii="Times New Roman" w:eastAsia="宋体" w:hAnsi="Times New Roman" w:cs="Times New Roman"/>
                <w:sz w:val="19"/>
                <w:lang w:eastAsia="zh-CN"/>
              </w:rPr>
              <w:t>3</w:t>
            </w:r>
            <w:r w:rsidRPr="00CA09A6">
              <w:rPr>
                <w:rFonts w:ascii="Times New Roman" w:eastAsia="宋体" w:hAnsi="Times New Roman" w:cs="Times New Roman"/>
                <w:sz w:val="19"/>
                <w:lang w:eastAsia="zh-CN"/>
              </w:rPr>
              <w:t>例次经研究者判断与</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相关的感染性肺炎严重不良反应。</w:t>
            </w:r>
          </w:p>
        </w:tc>
        <w:tc>
          <w:tcPr>
            <w:tcW w:w="3912" w:type="dxa"/>
            <w:vAlign w:val="center"/>
          </w:tcPr>
          <w:p w14:paraId="7331770C"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纳入后续更新的安全性参考信息；在后续研究中持续监测肺部感染相关严重不良事件，并结合临床表现、影像学、病原学检查、合并用药及基础疾病等信息进行因果关系评估。</w:t>
            </w:r>
          </w:p>
        </w:tc>
      </w:tr>
      <w:tr w:rsidR="00946940" w:rsidRPr="00CA09A6" w14:paraId="26D29EB6" w14:textId="77777777">
        <w:trPr>
          <w:cantSplit/>
        </w:trPr>
        <w:tc>
          <w:tcPr>
            <w:tcW w:w="1191" w:type="dxa"/>
            <w:vAlign w:val="center"/>
          </w:tcPr>
          <w:p w14:paraId="5F14CCBC"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sz w:val="19"/>
              </w:rPr>
              <w:t>重要已识别风险</w:t>
            </w:r>
          </w:p>
        </w:tc>
        <w:tc>
          <w:tcPr>
            <w:tcW w:w="1531" w:type="dxa"/>
            <w:vAlign w:val="center"/>
          </w:tcPr>
          <w:p w14:paraId="3BFF2835"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sz w:val="19"/>
              </w:rPr>
              <w:t>药物诱导的肝损伤</w:t>
            </w:r>
          </w:p>
        </w:tc>
        <w:tc>
          <w:tcPr>
            <w:tcW w:w="2608" w:type="dxa"/>
            <w:vAlign w:val="center"/>
          </w:tcPr>
          <w:p w14:paraId="46B63FE9"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OOJ-VT8802-01</w:t>
            </w:r>
            <w:r w:rsidRPr="00CA09A6">
              <w:rPr>
                <w:rFonts w:ascii="Times New Roman" w:eastAsia="宋体" w:hAnsi="Times New Roman" w:cs="Times New Roman"/>
                <w:sz w:val="19"/>
                <w:lang w:eastAsia="zh-CN"/>
              </w:rPr>
              <w:t>研究中报告</w:t>
            </w:r>
            <w:r w:rsidRPr="00CA09A6">
              <w:rPr>
                <w:rFonts w:ascii="Times New Roman" w:eastAsia="宋体" w:hAnsi="Times New Roman" w:cs="Times New Roman"/>
                <w:sz w:val="19"/>
                <w:lang w:eastAsia="zh-CN"/>
              </w:rPr>
              <w:t>1</w:t>
            </w:r>
            <w:r w:rsidRPr="00CA09A6">
              <w:rPr>
                <w:rFonts w:ascii="Times New Roman" w:eastAsia="宋体" w:hAnsi="Times New Roman" w:cs="Times New Roman"/>
                <w:sz w:val="19"/>
                <w:lang w:eastAsia="zh-CN"/>
              </w:rPr>
              <w:t>例次经研究者判断与</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相关的药物诱导的肝损伤严重不良反应。</w:t>
            </w:r>
          </w:p>
        </w:tc>
        <w:tc>
          <w:tcPr>
            <w:tcW w:w="3912" w:type="dxa"/>
            <w:vAlign w:val="center"/>
          </w:tcPr>
          <w:p w14:paraId="58BEB27F"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纳入后续更新的安全性参考信息；后续研究中继续监测肝功能相关实验室指标，对疑似肝损伤事件进行及时评估和处理。</w:t>
            </w:r>
          </w:p>
        </w:tc>
      </w:tr>
      <w:tr w:rsidR="00946940" w:rsidRPr="00CA09A6" w14:paraId="2D22E3F4" w14:textId="77777777">
        <w:trPr>
          <w:cantSplit/>
        </w:trPr>
        <w:tc>
          <w:tcPr>
            <w:tcW w:w="1191" w:type="dxa"/>
            <w:vAlign w:val="center"/>
          </w:tcPr>
          <w:p w14:paraId="791F6728"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lastRenderedPageBreak/>
              <w:t>需持续关注的其他安全性问题</w:t>
            </w:r>
          </w:p>
        </w:tc>
        <w:tc>
          <w:tcPr>
            <w:tcW w:w="1531" w:type="dxa"/>
            <w:vAlign w:val="center"/>
          </w:tcPr>
          <w:p w14:paraId="44C56ED4"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腹泻及其他免疫相关风险事件</w:t>
            </w:r>
          </w:p>
        </w:tc>
        <w:tc>
          <w:tcPr>
            <w:tcW w:w="2608" w:type="dxa"/>
            <w:vAlign w:val="center"/>
          </w:tcPr>
          <w:p w14:paraId="65399A3F"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腹泻、皮疹、甲状腺功能异常、肝功能相关实验室指标异常及其他免疫相关风险事件在临床研究中已有观察。腹泻目前尚未作为</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相关严重不良反应纳入安全性参考信息。</w:t>
            </w:r>
          </w:p>
        </w:tc>
        <w:tc>
          <w:tcPr>
            <w:tcW w:w="3912" w:type="dxa"/>
            <w:vAlign w:val="center"/>
          </w:tcPr>
          <w:p w14:paraId="6DDF5DEB"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后续研究中持续监测相关事件的发生情况、严重程度、转归及与</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的因果关系；必要时结合累计数据进一步评估其风险分类及是否需更新安全性参考信息。</w:t>
            </w:r>
          </w:p>
        </w:tc>
      </w:tr>
    </w:tbl>
    <w:p w14:paraId="2E8FCA8E" w14:textId="77777777" w:rsidR="00946940" w:rsidRPr="003E7EB4" w:rsidRDefault="00000000">
      <w:pPr>
        <w:spacing w:line="348" w:lineRule="auto"/>
        <w:ind w:firstLine="420"/>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总体而言，现有风险可通过常规安全性监测、研究方案规定的暂停</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停药标准及相应临床处理措施进行管理。本报告期内未发现影响</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继续临床开发的新重大安全性风险。</w:t>
      </w:r>
    </w:p>
    <w:p w14:paraId="5D5A64ED" w14:textId="77777777" w:rsidR="00946940" w:rsidRPr="003E7EB4" w:rsidRDefault="00000000">
      <w:pPr>
        <w:pStyle w:val="1"/>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20.</w:t>
      </w:r>
      <w:r w:rsidRPr="003E7EB4">
        <w:rPr>
          <w:rFonts w:ascii="Times New Roman" w:eastAsia="宋体" w:hAnsi="Times New Roman" w:cs="Times New Roman"/>
          <w:sz w:val="28"/>
          <w:szCs w:val="24"/>
          <w:lang w:eastAsia="zh-CN"/>
        </w:rPr>
        <w:t>结论</w:t>
      </w:r>
    </w:p>
    <w:p w14:paraId="6FDED2E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综合本报告周期内的新增临床数据及累计安全性评估，</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风险平衡依然积极且可接受，未发现导致临床试验暂停、试验参与者限制或阻碍当前临床开发项目继续推进的新增重大安全性风险。</w:t>
      </w:r>
    </w:p>
    <w:p w14:paraId="524DDCF5" w14:textId="1B90760C"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获益评价：</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已完成的</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期单药研究（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）与正在进行的</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期联合治疗研究（</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）均展现出明确的初步抗肿瘤活性，进一步验证了</w:t>
      </w:r>
      <w:r w:rsidRPr="003E7EB4">
        <w:rPr>
          <w:rFonts w:ascii="Times New Roman" w:eastAsia="宋体" w:hAnsi="Times New Roman" w:cs="Times New Roman"/>
          <w:sz w:val="22"/>
          <w:szCs w:val="24"/>
          <w:lang w:eastAsia="zh-CN"/>
        </w:rPr>
        <w:t xml:space="preserve"> VT8802</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）推荐给药方案及整体临床开发策略的科学性与合理性。</w:t>
      </w:r>
    </w:p>
    <w:p w14:paraId="1022725B" w14:textId="20F48DE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风险行动：</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针对本期内集中确证的核心安全信号，为进一步强化试验参与者的风险管理，申办者拟将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感染性肺炎</w:t>
      </w:r>
      <w:r w:rsidRPr="003E7EB4">
        <w:rPr>
          <w:rFonts w:ascii="Times New Roman" w:eastAsia="宋体" w:hAnsi="Times New Roman" w:cs="Times New Roman"/>
          <w:sz w:val="22"/>
          <w:szCs w:val="24"/>
          <w:lang w:eastAsia="zh-CN"/>
        </w:rPr>
        <w:t>”</w:t>
      </w:r>
      <w:r w:rsidR="00073510">
        <w:rPr>
          <w:rFonts w:ascii="Times New Roman" w:eastAsia="宋体" w:hAnsi="Times New Roman" w:cs="Times New Roman" w:hint="eastAsia"/>
          <w:sz w:val="22"/>
          <w:szCs w:val="24"/>
          <w:lang w:eastAsia="zh-CN"/>
        </w:rPr>
        <w:t>、</w:t>
      </w:r>
      <w:r w:rsidR="00073510" w:rsidRPr="003E7EB4" w:rsidDel="00073510">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药物诱导的肝损伤</w:t>
      </w:r>
      <w:r w:rsidRPr="003E7EB4">
        <w:rPr>
          <w:rFonts w:ascii="Times New Roman" w:eastAsia="宋体" w:hAnsi="Times New Roman" w:cs="Times New Roman"/>
          <w:sz w:val="22"/>
          <w:szCs w:val="24"/>
          <w:lang w:eastAsia="zh-CN"/>
        </w:rPr>
        <w:t>”</w:t>
      </w:r>
      <w:r w:rsidR="00073510">
        <w:rPr>
          <w:rFonts w:ascii="Times New Roman" w:eastAsia="宋体" w:hAnsi="Times New Roman" w:cs="Times New Roman" w:hint="eastAsia"/>
          <w:sz w:val="22"/>
          <w:szCs w:val="24"/>
          <w:lang w:eastAsia="zh-CN"/>
        </w:rPr>
        <w:t>及“</w:t>
      </w:r>
      <w:r w:rsidR="00221C83">
        <w:rPr>
          <w:rFonts w:ascii="Times New Roman" w:eastAsia="宋体" w:hAnsi="Times New Roman" w:cs="Times New Roman" w:hint="eastAsia"/>
          <w:sz w:val="22"/>
          <w:szCs w:val="24"/>
          <w:lang w:eastAsia="zh-CN"/>
        </w:rPr>
        <w:t>甲状腺功能异常</w:t>
      </w:r>
      <w:r w:rsidR="00073510">
        <w:rPr>
          <w:rFonts w:ascii="Times New Roman" w:eastAsia="宋体" w:hAnsi="Times New Roman" w:cs="Times New Roman" w:hint="eastAsia"/>
          <w:sz w:val="22"/>
          <w:szCs w:val="24"/>
          <w:lang w:eastAsia="zh-CN"/>
        </w:rPr>
        <w:t>”</w:t>
      </w:r>
      <w:r w:rsidRPr="003E7EB4">
        <w:rPr>
          <w:rFonts w:ascii="Times New Roman" w:eastAsia="宋体" w:hAnsi="Times New Roman" w:cs="Times New Roman"/>
          <w:sz w:val="22"/>
          <w:szCs w:val="24"/>
          <w:lang w:eastAsia="zh-CN"/>
        </w:rPr>
        <w:t>作为预期严重不良反应纳入下一版安全性参考信息（</w:t>
      </w:r>
      <w:r w:rsidRPr="003E7EB4">
        <w:rPr>
          <w:rFonts w:ascii="Times New Roman" w:eastAsia="宋体" w:hAnsi="Times New Roman" w:cs="Times New Roman"/>
          <w:sz w:val="22"/>
          <w:szCs w:val="24"/>
          <w:lang w:eastAsia="zh-CN"/>
        </w:rPr>
        <w:t>RS</w:t>
      </w:r>
      <w:r w:rsidR="00D36E0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）予以重点管控。</w:t>
      </w:r>
    </w:p>
    <w:p w14:paraId="1489CE4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后续计划：</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总体而言，</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现有的不良反应特征已知且临床可控。申办者将继续按计划推进后续临床开发，并在研究中对肺部感染、肝损伤等免疫介导毒性及联合用药相关的血液学毒性保持严密监测，持续动态地评估产品的获益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风险特征。</w:t>
      </w:r>
    </w:p>
    <w:sectPr w:rsidR="00946940" w:rsidRPr="003E7EB4" w:rsidSect="00034616">
      <w:headerReference w:type="default" r:id="rId8"/>
      <w:footerReference w:type="default" r:id="rId9"/>
      <w:pgSz w:w="11906" w:h="16838"/>
      <w:pgMar w:top="1304" w:right="1247" w:bottom="1247" w:left="1417"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E9862" w14:textId="77777777" w:rsidR="00C67064" w:rsidRDefault="00C67064">
      <w:pPr>
        <w:spacing w:after="0" w:line="240" w:lineRule="auto"/>
      </w:pPr>
      <w:r>
        <w:separator/>
      </w:r>
    </w:p>
  </w:endnote>
  <w:endnote w:type="continuationSeparator" w:id="0">
    <w:p w14:paraId="30EBF279" w14:textId="77777777" w:rsidR="00C67064" w:rsidRDefault="00C6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F797" w14:textId="77777777" w:rsidR="00946940" w:rsidRDefault="00000000">
    <w:pPr>
      <w:pStyle w:val="a8"/>
      <w:jc w:val="right"/>
    </w:pPr>
    <w:r>
      <w:rPr>
        <w:sz w:val="18"/>
      </w:rPr>
      <w:t>第</w:t>
    </w:r>
    <w:r>
      <w:rPr>
        <w:sz w:val="18"/>
      </w:rPr>
      <w:t xml:space="preserve"> </w:t>
    </w:r>
    <w:r>
      <w:fldChar w:fldCharType="begin"/>
    </w:r>
    <w:r>
      <w:instrText>PAGE</w:instrText>
    </w:r>
    <w:r>
      <w:fldChar w:fldCharType="separate"/>
    </w:r>
    <w:r w:rsidR="00E5320F">
      <w:rPr>
        <w:noProof/>
      </w:rPr>
      <w:t>2</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sidR="00E5320F">
      <w:rPr>
        <w:noProof/>
      </w:rPr>
      <w:t>3</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909EC" w14:textId="77777777" w:rsidR="00C67064" w:rsidRDefault="00C67064">
      <w:pPr>
        <w:spacing w:after="0" w:line="240" w:lineRule="auto"/>
      </w:pPr>
      <w:r>
        <w:separator/>
      </w:r>
    </w:p>
  </w:footnote>
  <w:footnote w:type="continuationSeparator" w:id="0">
    <w:p w14:paraId="6BD72058" w14:textId="77777777" w:rsidR="00C67064" w:rsidRDefault="00C67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2336" w14:textId="77777777" w:rsidR="00946940" w:rsidRDefault="00000000">
    <w:pPr>
      <w:pStyle w:val="a6"/>
      <w:jc w:val="right"/>
    </w:pPr>
    <w:r>
      <w:rPr>
        <w:sz w:val="18"/>
      </w:rPr>
      <w:t>VT8802  |  DSUR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140555">
    <w:abstractNumId w:val="8"/>
  </w:num>
  <w:num w:numId="2" w16cid:durableId="89082825">
    <w:abstractNumId w:val="6"/>
  </w:num>
  <w:num w:numId="3" w16cid:durableId="1918202986">
    <w:abstractNumId w:val="5"/>
  </w:num>
  <w:num w:numId="4" w16cid:durableId="1078595144">
    <w:abstractNumId w:val="4"/>
  </w:num>
  <w:num w:numId="5" w16cid:durableId="602997647">
    <w:abstractNumId w:val="7"/>
  </w:num>
  <w:num w:numId="6" w16cid:durableId="1667319466">
    <w:abstractNumId w:val="3"/>
  </w:num>
  <w:num w:numId="7" w16cid:durableId="572854820">
    <w:abstractNumId w:val="2"/>
  </w:num>
  <w:num w:numId="8" w16cid:durableId="2145346260">
    <w:abstractNumId w:val="1"/>
  </w:num>
  <w:num w:numId="9" w16cid:durableId="1888299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87"/>
    <w:rsid w:val="0006063C"/>
    <w:rsid w:val="000624CF"/>
    <w:rsid w:val="00073510"/>
    <w:rsid w:val="000F6F79"/>
    <w:rsid w:val="0015074B"/>
    <w:rsid w:val="001C73A3"/>
    <w:rsid w:val="00221C83"/>
    <w:rsid w:val="0029639D"/>
    <w:rsid w:val="00326F90"/>
    <w:rsid w:val="00362D06"/>
    <w:rsid w:val="00375823"/>
    <w:rsid w:val="00381974"/>
    <w:rsid w:val="003B7738"/>
    <w:rsid w:val="003E7EB4"/>
    <w:rsid w:val="003F1F6C"/>
    <w:rsid w:val="0041690C"/>
    <w:rsid w:val="004211B5"/>
    <w:rsid w:val="0043498C"/>
    <w:rsid w:val="004E3576"/>
    <w:rsid w:val="004F128A"/>
    <w:rsid w:val="00501FC2"/>
    <w:rsid w:val="0059445C"/>
    <w:rsid w:val="006522DA"/>
    <w:rsid w:val="00682AC4"/>
    <w:rsid w:val="006D4001"/>
    <w:rsid w:val="007643C0"/>
    <w:rsid w:val="00795974"/>
    <w:rsid w:val="007A4A67"/>
    <w:rsid w:val="00887221"/>
    <w:rsid w:val="00896B11"/>
    <w:rsid w:val="00914222"/>
    <w:rsid w:val="00946940"/>
    <w:rsid w:val="009B0D91"/>
    <w:rsid w:val="00A036DB"/>
    <w:rsid w:val="00A37FF1"/>
    <w:rsid w:val="00AA1D8D"/>
    <w:rsid w:val="00AA2B71"/>
    <w:rsid w:val="00AE571B"/>
    <w:rsid w:val="00B47730"/>
    <w:rsid w:val="00B618DB"/>
    <w:rsid w:val="00B83E41"/>
    <w:rsid w:val="00C14949"/>
    <w:rsid w:val="00C25E0D"/>
    <w:rsid w:val="00C27CF2"/>
    <w:rsid w:val="00C40511"/>
    <w:rsid w:val="00C67064"/>
    <w:rsid w:val="00C76FFB"/>
    <w:rsid w:val="00CA09A6"/>
    <w:rsid w:val="00CB0664"/>
    <w:rsid w:val="00CF1994"/>
    <w:rsid w:val="00D36E00"/>
    <w:rsid w:val="00D401BA"/>
    <w:rsid w:val="00DD766C"/>
    <w:rsid w:val="00E5320F"/>
    <w:rsid w:val="00EC652A"/>
    <w:rsid w:val="00F63CD6"/>
    <w:rsid w:val="00F763A0"/>
    <w:rsid w:val="00F87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91E0AA"/>
  <w14:defaultImageDpi w14:val="300"/>
  <w15:docId w15:val="{FF7833BA-C24B-4933-ACA7-A4290A98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Arial" w:eastAsia="Noto Serif CJK SC" w:hAnsi="Arial"/>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rsid w:val="00E618BF"/>
  </w:style>
  <w:style w:type="character" w:customStyle="1" w:styleId="a7">
    <w:name w:val="页脚 字符"/>
    <w:basedOn w:val="a2"/>
    <w:link w:val="a8"/>
    <w:uiPriority w:val="99"/>
    <w:rsid w:val="00E618BF"/>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b">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rsid w:val="00AA1D8D"/>
  </w:style>
  <w:style w:type="character" w:customStyle="1" w:styleId="23">
    <w:name w:val="正文文本 2 字符"/>
    <w:basedOn w:val="a2"/>
    <w:link w:val="24"/>
    <w:uiPriority w:val="99"/>
    <w:rsid w:val="00AA1D8D"/>
  </w:style>
  <w:style w:type="character" w:customStyle="1" w:styleId="33">
    <w:name w:val="正文文本 3 字符"/>
    <w:basedOn w:val="a2"/>
    <w:link w:val="34"/>
    <w:uiPriority w:val="99"/>
    <w:rsid w:val="00AA1D8D"/>
    <w:rPr>
      <w:sz w:val="16"/>
      <w:szCs w:val="16"/>
    </w:rPr>
  </w:style>
  <w:style w:type="character" w:customStyle="1" w:styleId="af">
    <w:name w:val="宏文本 字符"/>
    <w:basedOn w:val="a2"/>
    <w:link w:val="af0"/>
    <w:uiPriority w:val="99"/>
    <w:rsid w:val="0029639D"/>
    <w:rPr>
      <w:rFonts w:ascii="Courier" w:hAnsi="Courier"/>
      <w:sz w:val="20"/>
      <w:szCs w:val="20"/>
    </w:rPr>
  </w:style>
  <w:style w:type="character" w:customStyle="1" w:styleId="af1">
    <w:name w:val="引用 字符"/>
    <w:basedOn w:val="a2"/>
    <w:link w:val="af2"/>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table" w:styleId="afc">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4">
    <w:name w:val="No Spacing"/>
    <w:uiPriority w:val="1"/>
    <w:qFormat/>
    <w:rsid w:val="00FC693F"/>
    <w:pPr>
      <w:spacing w:after="0" w:line="240" w:lineRule="auto"/>
    </w:pPr>
  </w:style>
  <w:style w:type="paragraph" w:styleId="aa">
    <w:name w:val="Title"/>
    <w:basedOn w:val="a1"/>
    <w:next w:val="a1"/>
    <w:link w:val="a9"/>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000000"/>
      <w:spacing w:val="15"/>
      <w:sz w:val="24"/>
      <w:szCs w:val="24"/>
    </w:rPr>
  </w:style>
  <w:style w:type="paragraph" w:styleId="aff5">
    <w:name w:val="List Paragraph"/>
    <w:basedOn w:val="a1"/>
    <w:uiPriority w:val="34"/>
    <w:qFormat/>
    <w:rsid w:val="00FC693F"/>
    <w:pPr>
      <w:ind w:left="720"/>
      <w:contextualSpacing/>
    </w:pPr>
  </w:style>
  <w:style w:type="paragraph" w:styleId="ae">
    <w:name w:val="Body Text"/>
    <w:basedOn w:val="a1"/>
    <w:link w:val="ad"/>
    <w:uiPriority w:val="99"/>
    <w:unhideWhenUsed/>
    <w:rsid w:val="00AA1D8D"/>
  </w:style>
  <w:style w:type="paragraph" w:styleId="24">
    <w:name w:val="Body Text 2"/>
    <w:basedOn w:val="a1"/>
    <w:link w:val="23"/>
    <w:uiPriority w:val="99"/>
    <w:unhideWhenUsed/>
    <w:rsid w:val="00AA1D8D"/>
    <w:pPr>
      <w:spacing w:line="480" w:lineRule="auto"/>
    </w:pPr>
  </w:style>
  <w:style w:type="paragraph" w:styleId="34">
    <w:name w:val="Body Text 3"/>
    <w:basedOn w:val="a1"/>
    <w:link w:val="33"/>
    <w:uiPriority w:val="99"/>
    <w:unhideWhenUsed/>
    <w:rsid w:val="00AA1D8D"/>
    <w:rPr>
      <w:sz w:val="16"/>
      <w:szCs w:val="16"/>
    </w:rPr>
  </w:style>
  <w:style w:type="paragraph" w:styleId="aff6">
    <w:name w:val="List"/>
    <w:basedOn w:val="a1"/>
    <w:uiPriority w:val="99"/>
    <w:unhideWhenUsed/>
    <w:rsid w:val="00AA1D8D"/>
    <w:pPr>
      <w:ind w:left="360" w:hanging="360"/>
      <w:contextualSpacing/>
    </w:pPr>
  </w:style>
  <w:style w:type="paragraph" w:styleId="28">
    <w:name w:val="List 2"/>
    <w:basedOn w:val="a1"/>
    <w:uiPriority w:val="99"/>
    <w:unhideWhenUsed/>
    <w:rsid w:val="00326F90"/>
    <w:pPr>
      <w:ind w:left="720" w:hanging="360"/>
      <w:contextualSpacing/>
    </w:pPr>
  </w:style>
  <w:style w:type="paragraph" w:styleId="36">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f7">
    <w:name w:val="List Continue"/>
    <w:basedOn w:val="a1"/>
    <w:uiPriority w:val="99"/>
    <w:unhideWhenUsed/>
    <w:rsid w:val="0029639D"/>
    <w:pPr>
      <w:ind w:left="360"/>
      <w:contextualSpacing/>
    </w:pPr>
  </w:style>
  <w:style w:type="paragraph" w:styleId="29">
    <w:name w:val="List Continue 2"/>
    <w:basedOn w:val="a1"/>
    <w:uiPriority w:val="99"/>
    <w:unhideWhenUsed/>
    <w:rsid w:val="0029639D"/>
    <w:pPr>
      <w:ind w:left="720"/>
      <w:contextualSpacing/>
    </w:pPr>
  </w:style>
  <w:style w:type="paragraph" w:styleId="37">
    <w:name w:val="List Continue 3"/>
    <w:basedOn w:val="a1"/>
    <w:uiPriority w:val="99"/>
    <w:unhideWhenUsed/>
    <w:rsid w:val="0029639D"/>
    <w:pPr>
      <w:ind w:left="1080"/>
      <w:contextualSpacing/>
    </w:pPr>
  </w:style>
  <w:style w:type="paragraph" w:styleId="af0">
    <w:name w:val="macro"/>
    <w:link w:val="af"/>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f8">
    <w:name w:val="caption"/>
    <w:basedOn w:val="a1"/>
    <w:next w:val="a1"/>
    <w:uiPriority w:val="35"/>
    <w:semiHidden/>
    <w:unhideWhenUsed/>
    <w:qFormat/>
    <w:rsid w:val="00FC693F"/>
    <w:pPr>
      <w:spacing w:line="240" w:lineRule="auto"/>
    </w:pPr>
    <w:rPr>
      <w:rFonts w:eastAsia="Noto Sans CJK SC"/>
      <w:bCs/>
      <w:color w:val="4F81BD" w:themeColor="accent1"/>
      <w:sz w:val="19"/>
      <w:szCs w:val="18"/>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OC">
    <w:name w:val="TOC Heading"/>
    <w:basedOn w:val="a1"/>
    <w:next w:val="a1"/>
    <w:uiPriority w:val="39"/>
    <w:semiHidden/>
    <w:unhideWhenUsed/>
    <w:qFormat/>
    <w:rsid w:val="00FC693F"/>
    <w:pPr>
      <w:spacing w:after="40"/>
    </w:pPr>
    <w:rPr>
      <w:rFonts w:eastAsia="Noto Sans CJK SC"/>
      <w:b/>
      <w:color w:val="000000"/>
      <w:sz w:val="32"/>
    </w:rPr>
  </w:style>
  <w:style w:type="paragraph" w:customStyle="1" w:styleId="TOC11">
    <w:name w:val="TOC 11"/>
    <w:pPr>
      <w:spacing w:after="40"/>
    </w:pPr>
    <w:rPr>
      <w:rFonts w:ascii="Arial" w:eastAsia="Noto Serif CJK SC" w:hAnsi="Arial"/>
    </w:rPr>
  </w:style>
  <w:style w:type="paragraph" w:customStyle="1" w:styleId="TOC21">
    <w:name w:val="TOC 21"/>
    <w:pPr>
      <w:spacing w:after="40"/>
      <w:ind w:left="420"/>
    </w:pPr>
    <w:rPr>
      <w:rFonts w:ascii="Arial" w:eastAsia="Noto Serif CJK SC" w:hAnsi="Arial"/>
      <w:sz w:val="21"/>
    </w:rPr>
  </w:style>
  <w:style w:type="paragraph" w:customStyle="1" w:styleId="TOC31">
    <w:name w:val="TOC 31"/>
    <w:pPr>
      <w:spacing w:after="40"/>
      <w:ind w:left="840"/>
    </w:pPr>
    <w:rPr>
      <w:rFonts w:ascii="Arial" w:eastAsia="Noto Serif CJK SC" w:hAnsi="Arial"/>
      <w:sz w:val="20"/>
    </w:rPr>
  </w:style>
  <w:style w:type="paragraph" w:customStyle="1" w:styleId="TableNote">
    <w:name w:val="Table Note"/>
    <w:pPr>
      <w:spacing w:before="40" w:after="160"/>
    </w:pPr>
    <w:rPr>
      <w:rFonts w:ascii="Arial" w:eastAsia="Noto Serif CJK SC" w:hAnsi="Arial"/>
      <w:sz w:val="18"/>
    </w:rPr>
  </w:style>
  <w:style w:type="paragraph" w:styleId="aff9">
    <w:name w:val="Revision"/>
    <w:hidden/>
    <w:uiPriority w:val="99"/>
    <w:semiHidden/>
    <w:rsid w:val="00381974"/>
    <w:pPr>
      <w:spacing w:after="0" w:line="240" w:lineRule="auto"/>
    </w:pPr>
    <w:rPr>
      <w:rFonts w:ascii="Arial" w:eastAsia="Noto Serif CJK SC"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12</Pages>
  <Words>4768</Words>
  <Characters>5531</Characters>
  <Application>Microsoft Office Word</Application>
  <DocSecurity>0</DocSecurity>
  <Lines>197</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p:lastModifiedBy>
  <cp:revision>37</cp:revision>
  <dcterms:created xsi:type="dcterms:W3CDTF">2013-12-23T23:15:00Z</dcterms:created>
  <dcterms:modified xsi:type="dcterms:W3CDTF">2026-10-14T10:07:00Z</dcterms:modified>
  <cp:category/>
</cp:coreProperties>
</file>