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C0C9" w14:textId="77777777" w:rsidR="00C44513" w:rsidRPr="00111250" w:rsidRDefault="00000000" w:rsidP="00C20250">
      <w:pPr>
        <w:spacing w:before="100" w:line="264" w:lineRule="auto"/>
        <w:jc w:val="both"/>
        <w:rPr>
          <w:rFonts w:ascii="Times New Roman" w:eastAsia="宋体" w:hAnsi="Times New Roman" w:cs="Times New Roman"/>
          <w:sz w:val="22"/>
          <w:szCs w:val="24"/>
          <w:lang w:eastAsia="zh-CN"/>
        </w:rPr>
      </w:pPr>
      <w:r w:rsidRPr="00111250">
        <w:rPr>
          <w:rFonts w:ascii="Times New Roman" w:eastAsia="宋体" w:hAnsi="Times New Roman" w:cs="Times New Roman"/>
          <w:sz w:val="22"/>
          <w:szCs w:val="24"/>
          <w:lang w:eastAsia="zh-CN"/>
        </w:rPr>
        <w:t xml:space="preserve">1. </w:t>
      </w:r>
      <w:r w:rsidRPr="00111250">
        <w:rPr>
          <w:rFonts w:ascii="Times New Roman" w:eastAsia="宋体" w:hAnsi="Times New Roman" w:cs="Times New Roman"/>
          <w:sz w:val="22"/>
          <w:szCs w:val="24"/>
          <w:lang w:eastAsia="zh-CN"/>
        </w:rPr>
        <w:t>标题页</w:t>
      </w:r>
    </w:p>
    <w:p w14:paraId="65B1BB54" w14:textId="77777777" w:rsidR="00C44513" w:rsidRPr="002622A7" w:rsidRDefault="00000000" w:rsidP="00C20250">
      <w:pPr>
        <w:pStyle w:val="aa"/>
        <w:spacing w:before="400" w:after="120" w:line="264" w:lineRule="auto"/>
        <w:jc w:val="both"/>
        <w:rPr>
          <w:rFonts w:ascii="Times New Roman" w:eastAsia="宋体" w:hAnsi="Times New Roman" w:cs="Times New Roman"/>
          <w:lang w:eastAsia="zh-CN"/>
        </w:rPr>
      </w:pPr>
      <w:r w:rsidRPr="002622A7">
        <w:rPr>
          <w:rFonts w:ascii="Times New Roman" w:eastAsia="宋体" w:hAnsi="Times New Roman" w:cs="Times New Roman"/>
          <w:sz w:val="40"/>
          <w:lang w:eastAsia="zh-CN"/>
        </w:rPr>
        <w:t>艾美妥珠单抗</w:t>
      </w:r>
      <w:r w:rsidRPr="002622A7">
        <w:rPr>
          <w:rFonts w:ascii="Times New Roman" w:eastAsia="宋体" w:hAnsi="Times New Roman" w:cs="Times New Roman"/>
          <w:sz w:val="40"/>
          <w:lang w:eastAsia="zh-CN"/>
        </w:rPr>
        <w:t xml:space="preserve"> VT8802</w:t>
      </w:r>
    </w:p>
    <w:p w14:paraId="6E6C7D53" w14:textId="77777777" w:rsidR="00C44513" w:rsidRPr="00EC475F" w:rsidRDefault="00000000" w:rsidP="00C20250">
      <w:pPr>
        <w:pStyle w:val="aa"/>
        <w:spacing w:before="100" w:after="120" w:line="264" w:lineRule="auto"/>
        <w:jc w:val="both"/>
        <w:rPr>
          <w:rFonts w:ascii="Times New Roman" w:eastAsia="宋体" w:hAnsi="Times New Roman" w:cs="Times New Roman"/>
          <w:sz w:val="40"/>
          <w:szCs w:val="44"/>
          <w:lang w:eastAsia="zh-CN"/>
        </w:rPr>
      </w:pPr>
      <w:r w:rsidRPr="00EC475F">
        <w:rPr>
          <w:rFonts w:ascii="Times New Roman" w:eastAsia="宋体" w:hAnsi="Times New Roman" w:cs="Times New Roman"/>
          <w:sz w:val="40"/>
          <w:szCs w:val="44"/>
          <w:lang w:eastAsia="zh-CN"/>
        </w:rPr>
        <w:t>临床研究报告</w:t>
      </w:r>
    </w:p>
    <w:p w14:paraId="5310C400" w14:textId="77777777" w:rsidR="00C44513" w:rsidRPr="00EC475F" w:rsidRDefault="00000000" w:rsidP="00C20250">
      <w:pPr>
        <w:spacing w:before="360"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4"/>
          <w:szCs w:val="24"/>
          <w:lang w:eastAsia="zh-CN"/>
        </w:rPr>
        <w:t>研究标题：一项评价艾美妥珠单抗（</w:t>
      </w:r>
      <w:r w:rsidRPr="00EC475F">
        <w:rPr>
          <w:rFonts w:ascii="Times New Roman" w:eastAsia="宋体" w:hAnsi="Times New Roman" w:cs="Times New Roman"/>
          <w:sz w:val="24"/>
          <w:szCs w:val="24"/>
          <w:lang w:eastAsia="zh-CN"/>
        </w:rPr>
        <w:t>VT8802</w:t>
      </w:r>
      <w:r w:rsidRPr="00EC475F">
        <w:rPr>
          <w:rFonts w:ascii="Times New Roman" w:eastAsia="宋体" w:hAnsi="Times New Roman" w:cs="Times New Roman"/>
          <w:sz w:val="24"/>
          <w:szCs w:val="24"/>
          <w:lang w:eastAsia="zh-CN"/>
        </w:rPr>
        <w:t>）单药治疗晚期实体瘤试验参与者安全性、耐受性、药代动力学、免疫原性及初步抗肿瘤活性的开放标签、多中心</w:t>
      </w:r>
      <w:r w:rsidRPr="00EC475F">
        <w:rPr>
          <w:rFonts w:ascii="Times New Roman" w:eastAsia="宋体" w:hAnsi="Times New Roman" w:cs="Times New Roman"/>
          <w:sz w:val="24"/>
          <w:szCs w:val="24"/>
          <w:lang w:eastAsia="zh-CN"/>
        </w:rPr>
        <w:t>I</w:t>
      </w:r>
      <w:r w:rsidRPr="00EC475F">
        <w:rPr>
          <w:rFonts w:ascii="Times New Roman" w:eastAsia="宋体" w:hAnsi="Times New Roman" w:cs="Times New Roman"/>
          <w:sz w:val="24"/>
          <w:szCs w:val="24"/>
          <w:lang w:eastAsia="zh-CN"/>
        </w:rPr>
        <w:t>期剂量探索及扩展研究</w:t>
      </w:r>
    </w:p>
    <w:p w14:paraId="453C0EBD"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方案编号：</w:t>
      </w:r>
      <w:r w:rsidRPr="00EC475F">
        <w:rPr>
          <w:rFonts w:ascii="Times New Roman" w:eastAsia="宋体" w:hAnsi="Times New Roman" w:cs="Times New Roman"/>
          <w:sz w:val="22"/>
          <w:szCs w:val="24"/>
          <w:lang w:eastAsia="zh-CN"/>
        </w:rPr>
        <w:t>OOJ-VT8802-01</w:t>
      </w:r>
    </w:p>
    <w:p w14:paraId="2C0E413A"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试验药物名称：</w:t>
      </w:r>
      <w:r w:rsidRPr="00EC475F">
        <w:rPr>
          <w:rFonts w:ascii="Times New Roman" w:eastAsia="宋体" w:hAnsi="Times New Roman" w:cs="Times New Roman"/>
          <w:sz w:val="22"/>
          <w:szCs w:val="24"/>
          <w:lang w:eastAsia="zh-CN"/>
        </w:rPr>
        <w:t>VT8802</w:t>
      </w:r>
      <w:r w:rsidRPr="00EC475F">
        <w:rPr>
          <w:rFonts w:ascii="Times New Roman" w:eastAsia="宋体" w:hAnsi="Times New Roman" w:cs="Times New Roman"/>
          <w:sz w:val="22"/>
          <w:szCs w:val="24"/>
          <w:lang w:eastAsia="zh-CN"/>
        </w:rPr>
        <w:t>（拟定通用名：艾美妥珠单抗）</w:t>
      </w:r>
    </w:p>
    <w:p w14:paraId="39E91C5F"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药物类别：重组人源化抗</w:t>
      </w:r>
      <w:r w:rsidRPr="00EC475F">
        <w:rPr>
          <w:rFonts w:ascii="Times New Roman" w:eastAsia="宋体" w:hAnsi="Times New Roman" w:cs="Times New Roman"/>
          <w:sz w:val="22"/>
          <w:szCs w:val="24"/>
          <w:lang w:eastAsia="zh-CN"/>
        </w:rPr>
        <w:t>PD-L1</w:t>
      </w:r>
      <w:r w:rsidRPr="00EC475F">
        <w:rPr>
          <w:rFonts w:ascii="Times New Roman" w:eastAsia="宋体" w:hAnsi="Times New Roman" w:cs="Times New Roman"/>
          <w:sz w:val="22"/>
          <w:szCs w:val="24"/>
          <w:lang w:eastAsia="zh-CN"/>
        </w:rPr>
        <w:t>单克隆抗体</w:t>
      </w:r>
    </w:p>
    <w:p w14:paraId="3EF23B3C"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适应症：晚期实体瘤</w:t>
      </w:r>
    </w:p>
    <w:p w14:paraId="6DD734A7"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研究分期：</w:t>
      </w:r>
      <w:r w:rsidRPr="00EC475F">
        <w:rPr>
          <w:rFonts w:ascii="Times New Roman" w:eastAsia="宋体" w:hAnsi="Times New Roman" w:cs="Times New Roman"/>
          <w:sz w:val="22"/>
          <w:szCs w:val="24"/>
          <w:lang w:eastAsia="zh-CN"/>
        </w:rPr>
        <w:t>I</w:t>
      </w:r>
      <w:r w:rsidRPr="00EC475F">
        <w:rPr>
          <w:rFonts w:ascii="Times New Roman" w:eastAsia="宋体" w:hAnsi="Times New Roman" w:cs="Times New Roman"/>
          <w:sz w:val="22"/>
          <w:szCs w:val="24"/>
          <w:lang w:eastAsia="zh-CN"/>
        </w:rPr>
        <w:t>期</w:t>
      </w:r>
    </w:p>
    <w:p w14:paraId="740BCBEC"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试验起始日期：</w:t>
      </w:r>
      <w:r w:rsidRPr="00EC475F">
        <w:rPr>
          <w:rFonts w:ascii="Times New Roman" w:eastAsia="宋体" w:hAnsi="Times New Roman" w:cs="Times New Roman"/>
          <w:sz w:val="22"/>
          <w:szCs w:val="24"/>
          <w:lang w:eastAsia="zh-CN"/>
        </w:rPr>
        <w:t>2021.12.16</w:t>
      </w:r>
    </w:p>
    <w:p w14:paraId="039B1440"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首例试验参与者给药日期：</w:t>
      </w:r>
      <w:r w:rsidRPr="00EC475F">
        <w:rPr>
          <w:rFonts w:ascii="Times New Roman" w:eastAsia="宋体" w:hAnsi="Times New Roman" w:cs="Times New Roman"/>
          <w:sz w:val="22"/>
          <w:szCs w:val="24"/>
          <w:lang w:eastAsia="zh-CN"/>
        </w:rPr>
        <w:t>2021.12.28</w:t>
      </w:r>
    </w:p>
    <w:p w14:paraId="6F6483EF"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剂量探索完成日期：</w:t>
      </w:r>
      <w:r w:rsidRPr="00EC475F">
        <w:rPr>
          <w:rFonts w:ascii="Times New Roman" w:eastAsia="宋体" w:hAnsi="Times New Roman" w:cs="Times New Roman"/>
          <w:sz w:val="22"/>
          <w:szCs w:val="24"/>
          <w:lang w:eastAsia="zh-CN"/>
        </w:rPr>
        <w:t>2022.09.15</w:t>
      </w:r>
    </w:p>
    <w:p w14:paraId="7E2659DD"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研究完成日期：</w:t>
      </w:r>
      <w:r w:rsidRPr="00EC475F">
        <w:rPr>
          <w:rFonts w:ascii="Times New Roman" w:eastAsia="宋体" w:hAnsi="Times New Roman" w:cs="Times New Roman"/>
          <w:sz w:val="22"/>
          <w:szCs w:val="24"/>
          <w:lang w:eastAsia="zh-CN"/>
        </w:rPr>
        <w:t>2023.03.20</w:t>
      </w:r>
    </w:p>
    <w:p w14:paraId="20525ECF"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数据库锁定日期：</w:t>
      </w:r>
      <w:r w:rsidRPr="00EC475F">
        <w:rPr>
          <w:rFonts w:ascii="Times New Roman" w:eastAsia="宋体" w:hAnsi="Times New Roman" w:cs="Times New Roman"/>
          <w:sz w:val="22"/>
          <w:szCs w:val="24"/>
          <w:lang w:eastAsia="zh-CN"/>
        </w:rPr>
        <w:t>2023.04.30</w:t>
      </w:r>
    </w:p>
    <w:p w14:paraId="130BF7DB"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申办者：某某生物医药有限公司</w:t>
      </w:r>
    </w:p>
    <w:p w14:paraId="4D303911" w14:textId="77777777" w:rsidR="00C44513" w:rsidRPr="00EC475F" w:rsidRDefault="00000000" w:rsidP="00C20250">
      <w:pPr>
        <w:spacing w:line="264" w:lineRule="auto"/>
        <w:jc w:val="both"/>
        <w:rPr>
          <w:rFonts w:ascii="Times New Roman" w:eastAsia="宋体" w:hAnsi="Times New Roman" w:cs="Times New Roman"/>
          <w:sz w:val="22"/>
          <w:szCs w:val="24"/>
          <w:lang w:eastAsia="zh-CN"/>
        </w:rPr>
      </w:pPr>
      <w:r w:rsidRPr="00EC475F">
        <w:rPr>
          <w:rFonts w:ascii="Times New Roman" w:eastAsia="宋体" w:hAnsi="Times New Roman" w:cs="Times New Roman"/>
          <w:sz w:val="22"/>
          <w:szCs w:val="24"/>
          <w:lang w:eastAsia="zh-CN"/>
        </w:rPr>
        <w:t>报告日期：</w:t>
      </w:r>
      <w:r w:rsidRPr="00EC475F">
        <w:rPr>
          <w:rFonts w:ascii="Times New Roman" w:eastAsia="宋体" w:hAnsi="Times New Roman" w:cs="Times New Roman"/>
          <w:sz w:val="22"/>
          <w:szCs w:val="24"/>
          <w:lang w:eastAsia="zh-CN"/>
        </w:rPr>
        <w:t>2023.07.15</w:t>
      </w:r>
    </w:p>
    <w:p w14:paraId="4E0A16F8" w14:textId="77777777" w:rsidR="00C44513" w:rsidRPr="002622A7" w:rsidRDefault="00000000" w:rsidP="00C20250">
      <w:pPr>
        <w:jc w:val="both"/>
        <w:rPr>
          <w:rFonts w:ascii="Times New Roman" w:eastAsia="宋体" w:hAnsi="Times New Roman" w:cs="Times New Roman"/>
          <w:lang w:eastAsia="zh-CN"/>
        </w:rPr>
      </w:pPr>
      <w:r w:rsidRPr="002622A7">
        <w:rPr>
          <w:rFonts w:ascii="Times New Roman" w:eastAsia="宋体" w:hAnsi="Times New Roman" w:cs="Times New Roman"/>
          <w:lang w:eastAsia="zh-CN"/>
        </w:rPr>
        <w:br w:type="page"/>
      </w:r>
    </w:p>
    <w:p w14:paraId="7420011B"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lastRenderedPageBreak/>
        <w:t>2</w:t>
      </w:r>
      <w:r w:rsidRPr="00954C2B">
        <w:rPr>
          <w:rFonts w:ascii="Times New Roman" w:eastAsia="宋体" w:hAnsi="Times New Roman" w:cs="Times New Roman"/>
          <w:sz w:val="28"/>
          <w:szCs w:val="24"/>
          <w:lang w:eastAsia="zh-CN"/>
        </w:rPr>
        <w:t>．概要</w:t>
      </w:r>
    </w:p>
    <w:p w14:paraId="0AD760EC"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本研究为一项开放标签、多中心</w:t>
      </w:r>
      <w:r w:rsidRPr="00954C2B">
        <w:rPr>
          <w:rFonts w:ascii="Times New Roman" w:eastAsia="宋体" w:hAnsi="Times New Roman" w:cs="Times New Roman"/>
          <w:sz w:val="22"/>
          <w:szCs w:val="24"/>
          <w:lang w:eastAsia="zh-CN"/>
        </w:rPr>
        <w:t>I</w:t>
      </w:r>
      <w:r w:rsidRPr="00954C2B">
        <w:rPr>
          <w:rFonts w:ascii="Times New Roman" w:eastAsia="宋体" w:hAnsi="Times New Roman" w:cs="Times New Roman"/>
          <w:sz w:val="22"/>
          <w:szCs w:val="24"/>
          <w:lang w:eastAsia="zh-CN"/>
        </w:rPr>
        <w:t>期剂量探索及剂量扩展研究，旨在评价</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单药治疗晚期实体瘤试验参与者的安全性、耐受性、药代动力学、免疫原性及初步抗肿瘤活性，并确定后续推荐给药方案。研究包括剂量探索阶段和剂量扩展阶段，剂量探索阶段设置</w:t>
      </w:r>
      <w:r w:rsidRPr="00954C2B">
        <w:rPr>
          <w:rFonts w:ascii="Times New Roman" w:eastAsia="宋体" w:hAnsi="Times New Roman" w:cs="Times New Roman"/>
          <w:sz w:val="22"/>
          <w:szCs w:val="24"/>
          <w:lang w:eastAsia="zh-CN"/>
        </w:rPr>
        <w:t>0.3 mg/kg Q3W</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1 mg/kg Q3W</w:t>
      </w:r>
      <w:r w:rsidRPr="00954C2B">
        <w:rPr>
          <w:rFonts w:ascii="Times New Roman" w:eastAsia="宋体" w:hAnsi="Times New Roman" w:cs="Times New Roman"/>
          <w:sz w:val="22"/>
          <w:szCs w:val="24"/>
          <w:lang w:eastAsia="zh-CN"/>
        </w:rPr>
        <w:t>和</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三个剂量水平，剂量扩展阶段采用</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给药方案。</w:t>
      </w:r>
    </w:p>
    <w:p w14:paraId="03ADF7CF"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本研究共</w:t>
      </w:r>
      <w:r w:rsidRPr="00954C2B">
        <w:rPr>
          <w:rFonts w:ascii="Times New Roman" w:eastAsia="宋体" w:hAnsi="Times New Roman" w:cs="Times New Roman"/>
          <w:sz w:val="22"/>
          <w:szCs w:val="24"/>
          <w:lang w:eastAsia="zh-CN"/>
        </w:rPr>
        <w:t>30</w:t>
      </w:r>
      <w:r w:rsidRPr="00954C2B">
        <w:rPr>
          <w:rFonts w:ascii="Times New Roman" w:eastAsia="宋体" w:hAnsi="Times New Roman" w:cs="Times New Roman"/>
          <w:sz w:val="22"/>
          <w:szCs w:val="24"/>
          <w:lang w:eastAsia="zh-CN"/>
        </w:rPr>
        <w:t>例试验参与者接受至少一次</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给药并纳入安全性分析集，其中剂量探索阶段</w:t>
      </w:r>
      <w:r w:rsidRPr="00954C2B">
        <w:rPr>
          <w:rFonts w:ascii="Times New Roman" w:eastAsia="宋体" w:hAnsi="Times New Roman" w:cs="Times New Roman"/>
          <w:sz w:val="22"/>
          <w:szCs w:val="24"/>
          <w:lang w:eastAsia="zh-CN"/>
        </w:rPr>
        <w:t>18</w:t>
      </w:r>
      <w:r w:rsidRPr="00954C2B">
        <w:rPr>
          <w:rFonts w:ascii="Times New Roman" w:eastAsia="宋体" w:hAnsi="Times New Roman" w:cs="Times New Roman"/>
          <w:sz w:val="22"/>
          <w:szCs w:val="24"/>
          <w:lang w:eastAsia="zh-CN"/>
        </w:rPr>
        <w:t>例，剂量扩展阶段</w:t>
      </w:r>
      <w:r w:rsidRPr="00954C2B">
        <w:rPr>
          <w:rFonts w:ascii="Times New Roman" w:eastAsia="宋体" w:hAnsi="Times New Roman" w:cs="Times New Roman"/>
          <w:sz w:val="22"/>
          <w:szCs w:val="24"/>
          <w:lang w:eastAsia="zh-CN"/>
        </w:rPr>
        <w:t>12</w:t>
      </w:r>
      <w:r w:rsidRPr="00954C2B">
        <w:rPr>
          <w:rFonts w:ascii="Times New Roman" w:eastAsia="宋体" w:hAnsi="Times New Roman" w:cs="Times New Roman"/>
          <w:sz w:val="22"/>
          <w:szCs w:val="24"/>
          <w:lang w:eastAsia="zh-CN"/>
        </w:rPr>
        <w:t>例。共有</w:t>
      </w:r>
      <w:r w:rsidRPr="00954C2B">
        <w:rPr>
          <w:rFonts w:ascii="Times New Roman" w:eastAsia="宋体" w:hAnsi="Times New Roman" w:cs="Times New Roman"/>
          <w:sz w:val="22"/>
          <w:szCs w:val="24"/>
          <w:lang w:eastAsia="zh-CN"/>
        </w:rPr>
        <w:t>21</w:t>
      </w:r>
      <w:r w:rsidRPr="00954C2B">
        <w:rPr>
          <w:rFonts w:ascii="Times New Roman" w:eastAsia="宋体" w:hAnsi="Times New Roman" w:cs="Times New Roman"/>
          <w:sz w:val="22"/>
          <w:szCs w:val="24"/>
          <w:lang w:eastAsia="zh-CN"/>
        </w:rPr>
        <w:t>例试验参与者接受</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剂量水平治疗。剂量探索阶段未观察到剂量限制性毒性，未达到最大耐受剂量。基于安全性、耐受性及早期临床资料，确定</w:t>
      </w:r>
      <w:r w:rsidRPr="00954C2B">
        <w:rPr>
          <w:rFonts w:ascii="Times New Roman" w:eastAsia="宋体" w:hAnsi="Times New Roman" w:cs="Times New Roman"/>
          <w:sz w:val="22"/>
          <w:szCs w:val="24"/>
          <w:lang w:eastAsia="zh-CN"/>
        </w:rPr>
        <w:t>VT8802 3 mg/kg Q3W</w:t>
      </w:r>
      <w:r w:rsidRPr="00954C2B">
        <w:rPr>
          <w:rFonts w:ascii="Times New Roman" w:eastAsia="宋体" w:hAnsi="Times New Roman" w:cs="Times New Roman"/>
          <w:sz w:val="22"/>
          <w:szCs w:val="24"/>
          <w:lang w:eastAsia="zh-CN"/>
        </w:rPr>
        <w:t>作为后续推荐给药方案。</w:t>
      </w:r>
    </w:p>
    <w:p w14:paraId="44086AE9"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疗效方面，本研究共有</w:t>
      </w:r>
      <w:r w:rsidRPr="00954C2B">
        <w:rPr>
          <w:rFonts w:ascii="Times New Roman" w:eastAsia="宋体" w:hAnsi="Times New Roman" w:cs="Times New Roman"/>
          <w:sz w:val="22"/>
          <w:szCs w:val="24"/>
          <w:lang w:eastAsia="zh-CN"/>
        </w:rPr>
        <w:t>26</w:t>
      </w:r>
      <w:r w:rsidRPr="00954C2B">
        <w:rPr>
          <w:rFonts w:ascii="Times New Roman" w:eastAsia="宋体" w:hAnsi="Times New Roman" w:cs="Times New Roman"/>
          <w:sz w:val="22"/>
          <w:szCs w:val="24"/>
          <w:lang w:eastAsia="zh-CN"/>
        </w:rPr>
        <w:t>例试验参与者可评价疗效。总体客观缓解率为</w:t>
      </w:r>
      <w:r w:rsidRPr="00954C2B">
        <w:rPr>
          <w:rFonts w:ascii="Times New Roman" w:eastAsia="宋体" w:hAnsi="Times New Roman" w:cs="Times New Roman"/>
          <w:sz w:val="22"/>
          <w:szCs w:val="24"/>
          <w:lang w:eastAsia="zh-CN"/>
        </w:rPr>
        <w:t>11.5%</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3/26</w:t>
      </w:r>
      <w:r w:rsidRPr="00954C2B">
        <w:rPr>
          <w:rFonts w:ascii="Times New Roman" w:eastAsia="宋体" w:hAnsi="Times New Roman" w:cs="Times New Roman"/>
          <w:sz w:val="22"/>
          <w:szCs w:val="24"/>
          <w:lang w:eastAsia="zh-CN"/>
        </w:rPr>
        <w:t>），疾病控制率为</w:t>
      </w:r>
      <w:r w:rsidRPr="00954C2B">
        <w:rPr>
          <w:rFonts w:ascii="Times New Roman" w:eastAsia="宋体" w:hAnsi="Times New Roman" w:cs="Times New Roman"/>
          <w:sz w:val="22"/>
          <w:szCs w:val="24"/>
          <w:lang w:eastAsia="zh-CN"/>
        </w:rPr>
        <w:t>46.2%</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12/26</w:t>
      </w:r>
      <w:r w:rsidRPr="00954C2B">
        <w:rPr>
          <w:rFonts w:ascii="Times New Roman" w:eastAsia="宋体" w:hAnsi="Times New Roman" w:cs="Times New Roman"/>
          <w:sz w:val="22"/>
          <w:szCs w:val="24"/>
          <w:lang w:eastAsia="zh-CN"/>
        </w:rPr>
        <w:t>）。上述结果提示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单药在部分晚期实体瘤试验参与者中观察到初步抗肿瘤活性，但本研究主要目的为安全性、耐受性及推荐给药方案探索，疗效结果仍需在后续研究中进一步验证。</w:t>
      </w:r>
    </w:p>
    <w:p w14:paraId="11FA34A7"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安全性方面，研究期间共</w:t>
      </w:r>
      <w:r w:rsidRPr="00954C2B">
        <w:rPr>
          <w:rFonts w:ascii="Times New Roman" w:eastAsia="宋体" w:hAnsi="Times New Roman" w:cs="Times New Roman"/>
          <w:sz w:val="22"/>
          <w:szCs w:val="24"/>
          <w:lang w:eastAsia="zh-CN"/>
        </w:rPr>
        <w:t>28</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93.3%</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386</w:t>
      </w:r>
      <w:r w:rsidRPr="00954C2B">
        <w:rPr>
          <w:rFonts w:ascii="Times New Roman" w:eastAsia="宋体" w:hAnsi="Times New Roman" w:cs="Times New Roman"/>
          <w:sz w:val="22"/>
          <w:szCs w:val="24"/>
          <w:lang w:eastAsia="zh-CN"/>
        </w:rPr>
        <w:t>例次治疗期间出现的不良事件，其中</w:t>
      </w:r>
      <w:r w:rsidRPr="00954C2B">
        <w:rPr>
          <w:rFonts w:ascii="Times New Roman" w:eastAsia="宋体" w:hAnsi="Times New Roman" w:cs="Times New Roman"/>
          <w:sz w:val="22"/>
          <w:szCs w:val="24"/>
          <w:lang w:eastAsia="zh-CN"/>
        </w:rPr>
        <w:t>24</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80.0%</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112</w:t>
      </w:r>
      <w:r w:rsidRPr="00954C2B">
        <w:rPr>
          <w:rFonts w:ascii="Times New Roman" w:eastAsia="宋体" w:hAnsi="Times New Roman" w:cs="Times New Roman"/>
          <w:sz w:val="22"/>
          <w:szCs w:val="24"/>
          <w:lang w:eastAsia="zh-CN"/>
        </w:rPr>
        <w:t>例次与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相关的治疗期间出现的不良事件。发生率</w:t>
      </w:r>
      <w:r w:rsidRPr="00954C2B">
        <w:rPr>
          <w:rFonts w:ascii="Times New Roman" w:eastAsia="宋体" w:hAnsi="Times New Roman" w:cs="Times New Roman"/>
          <w:sz w:val="22"/>
          <w:szCs w:val="24"/>
          <w:lang w:eastAsia="zh-CN"/>
        </w:rPr>
        <w:t>≥10%</w:t>
      </w:r>
      <w:r w:rsidRPr="00954C2B">
        <w:rPr>
          <w:rFonts w:ascii="Times New Roman" w:eastAsia="宋体" w:hAnsi="Times New Roman" w:cs="Times New Roman"/>
          <w:sz w:val="22"/>
          <w:szCs w:val="24"/>
          <w:lang w:eastAsia="zh-CN"/>
        </w:rPr>
        <w:t>的不良反应包括乏力、恶心、皮疹、输液相关反应、丙氨酸氨基转移酶升高、甲状腺功能减退症及腹泻。多数不良反应为</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级，经暂停给药、剂量调整或支持治疗后可恢复或缓解。</w:t>
      </w:r>
    </w:p>
    <w:p w14:paraId="46C2B380"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级不良反应，包括丙氨酸氨基转移酶升高、药物诱导的肝损伤、输液相关反应及感染性肺炎。共有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8</w:t>
      </w:r>
      <w:r w:rsidRPr="00954C2B">
        <w:rPr>
          <w:rFonts w:ascii="Times New Roman" w:eastAsia="宋体" w:hAnsi="Times New Roman" w:cs="Times New Roman"/>
          <w:sz w:val="22"/>
          <w:szCs w:val="24"/>
          <w:lang w:eastAsia="zh-CN"/>
        </w:rPr>
        <w:t>例次严重不良事件，其中与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相关的严重不良事件为感染性肺炎</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例和药物诱导的肝损伤</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例。根据事件发生时有效版本的安全性参考信息，上述与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相关的严重不良反应均判定为非预期严重不良反应。</w:t>
      </w:r>
    </w:p>
    <w:p w14:paraId="366CFE42"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例试验参与者死亡，其中</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例发生导致死亡的治疗期间出现的不良事件，为</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级呼吸衰竭，经研究者判断与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无关；其余</w:t>
      </w:r>
      <w:r w:rsidRPr="00954C2B">
        <w:rPr>
          <w:rFonts w:ascii="Times New Roman" w:eastAsia="宋体" w:hAnsi="Times New Roman" w:cs="Times New Roman"/>
          <w:sz w:val="22"/>
          <w:szCs w:val="24"/>
          <w:lang w:eastAsia="zh-CN"/>
        </w:rPr>
        <w:t>4</w:t>
      </w:r>
      <w:r w:rsidRPr="00954C2B">
        <w:rPr>
          <w:rFonts w:ascii="Times New Roman" w:eastAsia="宋体" w:hAnsi="Times New Roman" w:cs="Times New Roman"/>
          <w:sz w:val="22"/>
          <w:szCs w:val="24"/>
          <w:lang w:eastAsia="zh-CN"/>
        </w:rPr>
        <w:t>例死亡与疾病进展相关。未观察到与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相关的导致死亡不良事件。</w:t>
      </w:r>
    </w:p>
    <w:p w14:paraId="0E62EBC4"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免疫相关不良事件方面，研究期间共有</w:t>
      </w:r>
      <w:r w:rsidRPr="00954C2B">
        <w:rPr>
          <w:rFonts w:ascii="Times New Roman" w:eastAsia="宋体" w:hAnsi="Times New Roman" w:cs="Times New Roman"/>
          <w:sz w:val="22"/>
          <w:szCs w:val="24"/>
          <w:lang w:eastAsia="zh-CN"/>
        </w:rPr>
        <w:t>17</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56.7%</w:t>
      </w:r>
      <w:r w:rsidRPr="00954C2B">
        <w:rPr>
          <w:rFonts w:ascii="Times New Roman" w:eastAsia="宋体" w:hAnsi="Times New Roman" w:cs="Times New Roman"/>
          <w:sz w:val="22"/>
          <w:szCs w:val="24"/>
          <w:lang w:eastAsia="zh-CN"/>
        </w:rPr>
        <w:t>）试验参与者发生免疫相关不良事件，主要涉及皮肤、内分泌、肝功能异常及肺部相关事件，包括皮疹、甲状腺功能减退症、丙氨酸氨基转移酶升高、腹泻、间质性肺疾病、感染性肺炎及药物诱导的肝损伤。其中，</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级免疫相关不良事件包括感染性肺炎、药物诱导的肝损伤及丙氨酸氨基转移酶升高。</w:t>
      </w:r>
    </w:p>
    <w:p w14:paraId="03FB841D"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总体而言，</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在</w:t>
      </w:r>
      <w:r w:rsidRPr="00954C2B">
        <w:rPr>
          <w:rFonts w:ascii="Times New Roman" w:eastAsia="宋体" w:hAnsi="Times New Roman" w:cs="Times New Roman"/>
          <w:sz w:val="22"/>
          <w:szCs w:val="24"/>
          <w:lang w:eastAsia="zh-CN"/>
        </w:rPr>
        <w:t>0.3 mg/kg</w:t>
      </w:r>
      <w:r w:rsidRPr="00954C2B">
        <w:rPr>
          <w:rFonts w:ascii="Times New Roman" w:eastAsia="宋体" w:hAnsi="Times New Roman" w:cs="Times New Roman"/>
          <w:sz w:val="22"/>
          <w:szCs w:val="24"/>
          <w:lang w:eastAsia="zh-CN"/>
        </w:rPr>
        <w:t>至</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剂量范围内耐受性良好，未观察到随剂量升高而明显增加的毒性趋势。研究期间观察到的安全性特征与</w:t>
      </w:r>
      <w:r w:rsidRPr="00954C2B">
        <w:rPr>
          <w:rFonts w:ascii="Times New Roman" w:eastAsia="宋体" w:hAnsi="Times New Roman" w:cs="Times New Roman"/>
          <w:sz w:val="22"/>
          <w:szCs w:val="24"/>
          <w:lang w:eastAsia="zh-CN"/>
        </w:rPr>
        <w:t>PD-1/PD-L1</w:t>
      </w:r>
      <w:r w:rsidRPr="00954C2B">
        <w:rPr>
          <w:rFonts w:ascii="Times New Roman" w:eastAsia="宋体" w:hAnsi="Times New Roman" w:cs="Times New Roman"/>
          <w:sz w:val="22"/>
          <w:szCs w:val="24"/>
          <w:lang w:eastAsia="zh-CN"/>
        </w:rPr>
        <w:t>类免疫检查点抑制剂</w:t>
      </w:r>
      <w:r w:rsidRPr="00954C2B">
        <w:rPr>
          <w:rFonts w:ascii="Times New Roman" w:eastAsia="宋体" w:hAnsi="Times New Roman" w:cs="Times New Roman"/>
          <w:sz w:val="22"/>
          <w:szCs w:val="24"/>
          <w:lang w:eastAsia="zh-CN"/>
        </w:rPr>
        <w:lastRenderedPageBreak/>
        <w:t>的已知风险谱基本一致。感染性肺炎和药物诱导的肝损伤为本研究中需要重点关注的与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相关严重不良反应，建议在后续临床开发和安全性参考信息更新中予以重点评估和持续监测。</w:t>
      </w:r>
    </w:p>
    <w:p w14:paraId="63081211" w14:textId="77777777" w:rsidR="00C44513" w:rsidRPr="002622A7" w:rsidRDefault="00000000" w:rsidP="00C20250">
      <w:pPr>
        <w:jc w:val="both"/>
        <w:rPr>
          <w:rFonts w:ascii="Times New Roman" w:eastAsia="宋体" w:hAnsi="Times New Roman" w:cs="Times New Roman"/>
          <w:lang w:eastAsia="zh-CN"/>
        </w:rPr>
      </w:pPr>
      <w:r w:rsidRPr="002622A7">
        <w:rPr>
          <w:rFonts w:ascii="Times New Roman" w:eastAsia="宋体" w:hAnsi="Times New Roman" w:cs="Times New Roman"/>
          <w:lang w:eastAsia="zh-CN"/>
        </w:rPr>
        <w:br w:type="page"/>
      </w:r>
    </w:p>
    <w:p w14:paraId="47AA0598" w14:textId="77777777" w:rsidR="00C44513" w:rsidRPr="00954C2B" w:rsidRDefault="00000000" w:rsidP="00C20250">
      <w:pPr>
        <w:pStyle w:val="TOC"/>
        <w:jc w:val="both"/>
        <w:rPr>
          <w:rFonts w:ascii="Times New Roman" w:eastAsia="宋体" w:hAnsi="Times New Roman" w:cs="Times New Roman"/>
          <w:sz w:val="28"/>
          <w:szCs w:val="21"/>
          <w:lang w:eastAsia="zh-CN"/>
        </w:rPr>
      </w:pPr>
      <w:r w:rsidRPr="00954C2B">
        <w:rPr>
          <w:rFonts w:ascii="Times New Roman" w:eastAsia="宋体" w:hAnsi="Times New Roman" w:cs="Times New Roman"/>
          <w:sz w:val="28"/>
          <w:szCs w:val="21"/>
          <w:lang w:eastAsia="zh-CN"/>
        </w:rPr>
        <w:lastRenderedPageBreak/>
        <w:t>3.</w:t>
      </w:r>
      <w:r w:rsidRPr="00954C2B">
        <w:rPr>
          <w:rFonts w:ascii="Times New Roman" w:eastAsia="宋体" w:hAnsi="Times New Roman" w:cs="Times New Roman"/>
          <w:sz w:val="28"/>
          <w:szCs w:val="21"/>
          <w:lang w:eastAsia="zh-CN"/>
        </w:rPr>
        <w:t>目录</w:t>
      </w:r>
    </w:p>
    <w:p w14:paraId="60A575E1"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 </w:t>
      </w:r>
      <w:r w:rsidRPr="00954C2B">
        <w:rPr>
          <w:rFonts w:ascii="Times New Roman" w:eastAsia="宋体" w:hAnsi="Times New Roman" w:cs="Times New Roman"/>
          <w:sz w:val="24"/>
          <w:szCs w:val="24"/>
          <w:lang w:eastAsia="zh-CN"/>
        </w:rPr>
        <w:t>标题页</w:t>
      </w:r>
      <w:r w:rsidRPr="00954C2B">
        <w:rPr>
          <w:rFonts w:ascii="Times New Roman" w:eastAsia="宋体" w:hAnsi="Times New Roman" w:cs="Times New Roman"/>
          <w:sz w:val="24"/>
          <w:szCs w:val="24"/>
          <w:lang w:eastAsia="zh-CN"/>
        </w:rPr>
        <w:tab/>
        <w:t>1</w:t>
      </w:r>
    </w:p>
    <w:p w14:paraId="46A81486"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2</w:t>
      </w:r>
      <w:r w:rsidRPr="00954C2B">
        <w:rPr>
          <w:rFonts w:ascii="Times New Roman" w:eastAsia="宋体" w:hAnsi="Times New Roman" w:cs="Times New Roman"/>
          <w:sz w:val="24"/>
          <w:szCs w:val="24"/>
          <w:lang w:eastAsia="zh-CN"/>
        </w:rPr>
        <w:t>．概要</w:t>
      </w:r>
      <w:r w:rsidRPr="00954C2B">
        <w:rPr>
          <w:rFonts w:ascii="Times New Roman" w:eastAsia="宋体" w:hAnsi="Times New Roman" w:cs="Times New Roman"/>
          <w:sz w:val="24"/>
          <w:szCs w:val="24"/>
          <w:lang w:eastAsia="zh-CN"/>
        </w:rPr>
        <w:tab/>
        <w:t>2</w:t>
      </w:r>
    </w:p>
    <w:p w14:paraId="39284613"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3.</w:t>
      </w:r>
      <w:r w:rsidRPr="00954C2B">
        <w:rPr>
          <w:rFonts w:ascii="Times New Roman" w:eastAsia="宋体" w:hAnsi="Times New Roman" w:cs="Times New Roman"/>
          <w:sz w:val="24"/>
          <w:szCs w:val="24"/>
          <w:lang w:eastAsia="zh-CN"/>
        </w:rPr>
        <w:t>目录</w:t>
      </w:r>
      <w:r w:rsidRPr="00954C2B">
        <w:rPr>
          <w:rFonts w:ascii="Times New Roman" w:eastAsia="宋体" w:hAnsi="Times New Roman" w:cs="Times New Roman"/>
          <w:sz w:val="24"/>
          <w:szCs w:val="24"/>
          <w:lang w:eastAsia="zh-CN"/>
        </w:rPr>
        <w:tab/>
        <w:t>4</w:t>
      </w:r>
    </w:p>
    <w:p w14:paraId="5915283C"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4</w:t>
      </w:r>
      <w:r w:rsidRPr="00954C2B">
        <w:rPr>
          <w:rFonts w:ascii="Times New Roman" w:eastAsia="宋体" w:hAnsi="Times New Roman" w:cs="Times New Roman"/>
          <w:sz w:val="24"/>
          <w:szCs w:val="24"/>
          <w:lang w:eastAsia="zh-CN"/>
        </w:rPr>
        <w:t>．缩略语</w:t>
      </w:r>
      <w:r w:rsidRPr="00954C2B">
        <w:rPr>
          <w:rFonts w:ascii="Times New Roman" w:eastAsia="宋体" w:hAnsi="Times New Roman" w:cs="Times New Roman"/>
          <w:sz w:val="24"/>
          <w:szCs w:val="24"/>
          <w:lang w:eastAsia="zh-CN"/>
        </w:rPr>
        <w:tab/>
        <w:t>5</w:t>
      </w:r>
    </w:p>
    <w:p w14:paraId="1BB55DC4"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5.</w:t>
      </w:r>
      <w:r w:rsidRPr="00954C2B">
        <w:rPr>
          <w:rFonts w:ascii="Times New Roman" w:eastAsia="宋体" w:hAnsi="Times New Roman" w:cs="Times New Roman"/>
          <w:sz w:val="24"/>
          <w:szCs w:val="24"/>
          <w:lang w:eastAsia="zh-CN"/>
        </w:rPr>
        <w:t>伦理学</w:t>
      </w:r>
      <w:r w:rsidRPr="00954C2B">
        <w:rPr>
          <w:rFonts w:ascii="Times New Roman" w:eastAsia="宋体" w:hAnsi="Times New Roman" w:cs="Times New Roman"/>
          <w:sz w:val="24"/>
          <w:szCs w:val="24"/>
          <w:lang w:eastAsia="zh-CN"/>
        </w:rPr>
        <w:tab/>
        <w:t>5</w:t>
      </w:r>
    </w:p>
    <w:p w14:paraId="17DAE51F"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6. </w:t>
      </w:r>
      <w:r w:rsidRPr="00954C2B">
        <w:rPr>
          <w:rFonts w:ascii="Times New Roman" w:eastAsia="宋体" w:hAnsi="Times New Roman" w:cs="Times New Roman"/>
          <w:sz w:val="24"/>
          <w:szCs w:val="24"/>
          <w:lang w:eastAsia="zh-CN"/>
        </w:rPr>
        <w:t>研究者和研究管理结构</w:t>
      </w:r>
      <w:r w:rsidRPr="00954C2B">
        <w:rPr>
          <w:rFonts w:ascii="Times New Roman" w:eastAsia="宋体" w:hAnsi="Times New Roman" w:cs="Times New Roman"/>
          <w:sz w:val="24"/>
          <w:szCs w:val="24"/>
          <w:lang w:eastAsia="zh-CN"/>
        </w:rPr>
        <w:tab/>
        <w:t>5</w:t>
      </w:r>
    </w:p>
    <w:p w14:paraId="4394A396"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7. </w:t>
      </w:r>
      <w:r w:rsidRPr="00954C2B">
        <w:rPr>
          <w:rFonts w:ascii="Times New Roman" w:eastAsia="宋体" w:hAnsi="Times New Roman" w:cs="Times New Roman"/>
          <w:sz w:val="24"/>
          <w:szCs w:val="24"/>
          <w:lang w:eastAsia="zh-CN"/>
        </w:rPr>
        <w:t>简介</w:t>
      </w:r>
      <w:r w:rsidRPr="00954C2B">
        <w:rPr>
          <w:rFonts w:ascii="Times New Roman" w:eastAsia="宋体" w:hAnsi="Times New Roman" w:cs="Times New Roman"/>
          <w:sz w:val="24"/>
          <w:szCs w:val="24"/>
          <w:lang w:eastAsia="zh-CN"/>
        </w:rPr>
        <w:tab/>
        <w:t>5</w:t>
      </w:r>
    </w:p>
    <w:p w14:paraId="38549CB7"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8. </w:t>
      </w:r>
      <w:r w:rsidRPr="00954C2B">
        <w:rPr>
          <w:rFonts w:ascii="Times New Roman" w:eastAsia="宋体" w:hAnsi="Times New Roman" w:cs="Times New Roman"/>
          <w:sz w:val="24"/>
          <w:szCs w:val="24"/>
          <w:lang w:eastAsia="zh-CN"/>
        </w:rPr>
        <w:t>研究目标</w:t>
      </w:r>
      <w:r w:rsidRPr="00954C2B">
        <w:rPr>
          <w:rFonts w:ascii="Times New Roman" w:eastAsia="宋体" w:hAnsi="Times New Roman" w:cs="Times New Roman"/>
          <w:sz w:val="24"/>
          <w:szCs w:val="24"/>
          <w:lang w:eastAsia="zh-CN"/>
        </w:rPr>
        <w:tab/>
        <w:t>5</w:t>
      </w:r>
    </w:p>
    <w:p w14:paraId="210CEF8D"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9. </w:t>
      </w:r>
      <w:r w:rsidRPr="00954C2B">
        <w:rPr>
          <w:rFonts w:ascii="Times New Roman" w:eastAsia="宋体" w:hAnsi="Times New Roman" w:cs="Times New Roman"/>
          <w:sz w:val="24"/>
          <w:szCs w:val="24"/>
          <w:lang w:eastAsia="zh-CN"/>
        </w:rPr>
        <w:t>研究计划</w:t>
      </w:r>
      <w:r w:rsidRPr="00954C2B">
        <w:rPr>
          <w:rFonts w:ascii="Times New Roman" w:eastAsia="宋体" w:hAnsi="Times New Roman" w:cs="Times New Roman"/>
          <w:sz w:val="24"/>
          <w:szCs w:val="24"/>
          <w:lang w:eastAsia="zh-CN"/>
        </w:rPr>
        <w:tab/>
        <w:t>5</w:t>
      </w:r>
    </w:p>
    <w:p w14:paraId="084EAA40"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9.5 </w:t>
      </w:r>
      <w:r w:rsidRPr="00954C2B">
        <w:rPr>
          <w:rFonts w:ascii="Times New Roman" w:eastAsia="宋体" w:hAnsi="Times New Roman" w:cs="Times New Roman"/>
          <w:sz w:val="22"/>
          <w:szCs w:val="24"/>
          <w:lang w:eastAsia="zh-CN"/>
        </w:rPr>
        <w:t>疗效和安全性变量</w:t>
      </w:r>
      <w:r w:rsidRPr="00954C2B">
        <w:rPr>
          <w:rFonts w:ascii="Times New Roman" w:eastAsia="宋体" w:hAnsi="Times New Roman" w:cs="Times New Roman"/>
          <w:sz w:val="22"/>
          <w:szCs w:val="24"/>
          <w:lang w:eastAsia="zh-CN"/>
        </w:rPr>
        <w:tab/>
        <w:t>5</w:t>
      </w:r>
    </w:p>
    <w:p w14:paraId="4CE60B4D"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10. </w:t>
      </w:r>
      <w:r w:rsidRPr="00954C2B">
        <w:rPr>
          <w:rFonts w:ascii="Times New Roman" w:eastAsia="宋体" w:hAnsi="Times New Roman" w:cs="Times New Roman"/>
          <w:sz w:val="24"/>
          <w:szCs w:val="24"/>
          <w:lang w:eastAsia="zh-CN"/>
        </w:rPr>
        <w:t>研究患者</w:t>
      </w:r>
      <w:r w:rsidRPr="00954C2B">
        <w:rPr>
          <w:rFonts w:ascii="Times New Roman" w:eastAsia="宋体" w:hAnsi="Times New Roman" w:cs="Times New Roman"/>
          <w:sz w:val="24"/>
          <w:szCs w:val="24"/>
          <w:lang w:eastAsia="zh-CN"/>
        </w:rPr>
        <w:tab/>
        <w:t>5</w:t>
      </w:r>
    </w:p>
    <w:p w14:paraId="304C6FB3"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11. </w:t>
      </w:r>
      <w:r w:rsidRPr="00954C2B">
        <w:rPr>
          <w:rFonts w:ascii="Times New Roman" w:eastAsia="宋体" w:hAnsi="Times New Roman" w:cs="Times New Roman"/>
          <w:sz w:val="24"/>
          <w:szCs w:val="24"/>
          <w:lang w:eastAsia="zh-CN"/>
        </w:rPr>
        <w:t>疗效评估</w:t>
      </w:r>
      <w:r w:rsidRPr="00954C2B">
        <w:rPr>
          <w:rFonts w:ascii="Times New Roman" w:eastAsia="宋体" w:hAnsi="Times New Roman" w:cs="Times New Roman"/>
          <w:sz w:val="24"/>
          <w:szCs w:val="24"/>
          <w:lang w:eastAsia="zh-CN"/>
        </w:rPr>
        <w:tab/>
        <w:t>5</w:t>
      </w:r>
    </w:p>
    <w:p w14:paraId="7F6600FD"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12. </w:t>
      </w:r>
      <w:r w:rsidRPr="00954C2B">
        <w:rPr>
          <w:rFonts w:ascii="Times New Roman" w:eastAsia="宋体" w:hAnsi="Times New Roman" w:cs="Times New Roman"/>
          <w:sz w:val="24"/>
          <w:szCs w:val="24"/>
          <w:lang w:eastAsia="zh-CN"/>
        </w:rPr>
        <w:t>安全性评价</w:t>
      </w:r>
      <w:r w:rsidRPr="00954C2B">
        <w:rPr>
          <w:rFonts w:ascii="Times New Roman" w:eastAsia="宋体" w:hAnsi="Times New Roman" w:cs="Times New Roman"/>
          <w:sz w:val="24"/>
          <w:szCs w:val="24"/>
          <w:lang w:eastAsia="zh-CN"/>
        </w:rPr>
        <w:tab/>
        <w:t>5</w:t>
      </w:r>
    </w:p>
    <w:p w14:paraId="0740D762"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12.1 </w:t>
      </w:r>
      <w:r w:rsidRPr="00954C2B">
        <w:rPr>
          <w:rFonts w:ascii="Times New Roman" w:eastAsia="宋体" w:hAnsi="Times New Roman" w:cs="Times New Roman"/>
          <w:sz w:val="22"/>
          <w:szCs w:val="24"/>
          <w:lang w:eastAsia="zh-CN"/>
        </w:rPr>
        <w:t>暴露程度</w:t>
      </w:r>
      <w:r w:rsidRPr="00954C2B">
        <w:rPr>
          <w:rFonts w:ascii="Times New Roman" w:eastAsia="宋体" w:hAnsi="Times New Roman" w:cs="Times New Roman"/>
          <w:sz w:val="22"/>
          <w:szCs w:val="24"/>
          <w:lang w:eastAsia="zh-CN"/>
        </w:rPr>
        <w:tab/>
        <w:t>5</w:t>
      </w:r>
    </w:p>
    <w:p w14:paraId="5D938C9D"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12.2 </w:t>
      </w:r>
      <w:r w:rsidRPr="00954C2B">
        <w:rPr>
          <w:rFonts w:ascii="Times New Roman" w:eastAsia="宋体" w:hAnsi="Times New Roman" w:cs="Times New Roman"/>
          <w:sz w:val="22"/>
          <w:szCs w:val="24"/>
          <w:lang w:eastAsia="zh-CN"/>
        </w:rPr>
        <w:t>不良事件</w:t>
      </w:r>
      <w:r w:rsidRPr="00954C2B">
        <w:rPr>
          <w:rFonts w:ascii="Times New Roman" w:eastAsia="宋体" w:hAnsi="Times New Roman" w:cs="Times New Roman"/>
          <w:sz w:val="22"/>
          <w:szCs w:val="24"/>
          <w:lang w:eastAsia="zh-CN"/>
        </w:rPr>
        <w:tab/>
        <w:t>5</w:t>
      </w:r>
    </w:p>
    <w:p w14:paraId="00863DDA"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12.3 </w:t>
      </w:r>
      <w:r w:rsidRPr="00954C2B">
        <w:rPr>
          <w:rFonts w:ascii="Times New Roman" w:eastAsia="宋体" w:hAnsi="Times New Roman" w:cs="Times New Roman"/>
          <w:sz w:val="22"/>
          <w:szCs w:val="24"/>
          <w:lang w:eastAsia="zh-CN"/>
        </w:rPr>
        <w:t>死亡、其他严重不良事件和其他重要不良事件</w:t>
      </w:r>
      <w:r w:rsidRPr="00954C2B">
        <w:rPr>
          <w:rFonts w:ascii="Times New Roman" w:eastAsia="宋体" w:hAnsi="Times New Roman" w:cs="Times New Roman"/>
          <w:sz w:val="22"/>
          <w:szCs w:val="24"/>
          <w:lang w:eastAsia="zh-CN"/>
        </w:rPr>
        <w:tab/>
        <w:t>7</w:t>
      </w:r>
    </w:p>
    <w:p w14:paraId="38FF8D5E"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12.4 </w:t>
      </w:r>
      <w:r w:rsidRPr="00954C2B">
        <w:rPr>
          <w:rFonts w:ascii="Times New Roman" w:eastAsia="宋体" w:hAnsi="Times New Roman" w:cs="Times New Roman"/>
          <w:sz w:val="22"/>
          <w:szCs w:val="24"/>
          <w:lang w:eastAsia="zh-CN"/>
        </w:rPr>
        <w:t>临床实验室评估</w:t>
      </w:r>
      <w:r w:rsidRPr="00954C2B">
        <w:rPr>
          <w:rFonts w:ascii="Times New Roman" w:eastAsia="宋体" w:hAnsi="Times New Roman" w:cs="Times New Roman"/>
          <w:sz w:val="22"/>
          <w:szCs w:val="24"/>
          <w:lang w:eastAsia="zh-CN"/>
        </w:rPr>
        <w:tab/>
        <w:t>8</w:t>
      </w:r>
    </w:p>
    <w:p w14:paraId="3EDF1954"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12.5 </w:t>
      </w:r>
      <w:r w:rsidRPr="00954C2B">
        <w:rPr>
          <w:rFonts w:ascii="Times New Roman" w:eastAsia="宋体" w:hAnsi="Times New Roman" w:cs="Times New Roman"/>
          <w:sz w:val="22"/>
          <w:szCs w:val="24"/>
          <w:lang w:eastAsia="zh-CN"/>
        </w:rPr>
        <w:t>生命体征、体格检查发现和其他安全性相关观察结果</w:t>
      </w:r>
      <w:r w:rsidRPr="00954C2B">
        <w:rPr>
          <w:rFonts w:ascii="Times New Roman" w:eastAsia="宋体" w:hAnsi="Times New Roman" w:cs="Times New Roman"/>
          <w:sz w:val="22"/>
          <w:szCs w:val="24"/>
          <w:lang w:eastAsia="zh-CN"/>
        </w:rPr>
        <w:tab/>
        <w:t>9</w:t>
      </w:r>
    </w:p>
    <w:p w14:paraId="0FDB8A14"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12.6 </w:t>
      </w:r>
      <w:r w:rsidRPr="00954C2B">
        <w:rPr>
          <w:rFonts w:ascii="Times New Roman" w:eastAsia="宋体" w:hAnsi="Times New Roman" w:cs="Times New Roman"/>
          <w:sz w:val="22"/>
          <w:szCs w:val="24"/>
          <w:lang w:eastAsia="zh-CN"/>
        </w:rPr>
        <w:t>安全性结论</w:t>
      </w:r>
      <w:r w:rsidRPr="00954C2B">
        <w:rPr>
          <w:rFonts w:ascii="Times New Roman" w:eastAsia="宋体" w:hAnsi="Times New Roman" w:cs="Times New Roman"/>
          <w:sz w:val="22"/>
          <w:szCs w:val="24"/>
          <w:lang w:eastAsia="zh-CN"/>
        </w:rPr>
        <w:tab/>
        <w:t>9</w:t>
      </w:r>
    </w:p>
    <w:p w14:paraId="744CDD94"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13. </w:t>
      </w:r>
      <w:r w:rsidRPr="00954C2B">
        <w:rPr>
          <w:rFonts w:ascii="Times New Roman" w:eastAsia="宋体" w:hAnsi="Times New Roman" w:cs="Times New Roman"/>
          <w:sz w:val="24"/>
          <w:szCs w:val="24"/>
          <w:lang w:eastAsia="zh-CN"/>
        </w:rPr>
        <w:t>讨论和总体结论</w:t>
      </w:r>
      <w:r w:rsidRPr="00954C2B">
        <w:rPr>
          <w:rFonts w:ascii="Times New Roman" w:eastAsia="宋体" w:hAnsi="Times New Roman" w:cs="Times New Roman"/>
          <w:sz w:val="24"/>
          <w:szCs w:val="24"/>
          <w:lang w:eastAsia="zh-CN"/>
        </w:rPr>
        <w:tab/>
        <w:t>10</w:t>
      </w:r>
    </w:p>
    <w:p w14:paraId="43DD7F6F"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14. </w:t>
      </w:r>
      <w:r w:rsidRPr="00954C2B">
        <w:rPr>
          <w:rFonts w:ascii="Times New Roman" w:eastAsia="宋体" w:hAnsi="Times New Roman" w:cs="Times New Roman"/>
          <w:sz w:val="24"/>
          <w:szCs w:val="24"/>
          <w:lang w:eastAsia="zh-CN"/>
        </w:rPr>
        <w:t>参考但不纳入文本的表格、图示和图表</w:t>
      </w:r>
      <w:r w:rsidRPr="00954C2B">
        <w:rPr>
          <w:rFonts w:ascii="Times New Roman" w:eastAsia="宋体" w:hAnsi="Times New Roman" w:cs="Times New Roman"/>
          <w:sz w:val="24"/>
          <w:szCs w:val="24"/>
          <w:lang w:eastAsia="zh-CN"/>
        </w:rPr>
        <w:tab/>
        <w:t>11</w:t>
      </w:r>
    </w:p>
    <w:p w14:paraId="236EAB27"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14.3 </w:t>
      </w:r>
      <w:r w:rsidRPr="00954C2B">
        <w:rPr>
          <w:rFonts w:ascii="Times New Roman" w:eastAsia="宋体" w:hAnsi="Times New Roman" w:cs="Times New Roman"/>
          <w:sz w:val="22"/>
          <w:szCs w:val="24"/>
          <w:lang w:eastAsia="zh-CN"/>
        </w:rPr>
        <w:t>安全性数据</w:t>
      </w:r>
      <w:r w:rsidRPr="00954C2B">
        <w:rPr>
          <w:rFonts w:ascii="Times New Roman" w:eastAsia="宋体" w:hAnsi="Times New Roman" w:cs="Times New Roman"/>
          <w:sz w:val="22"/>
          <w:szCs w:val="24"/>
          <w:lang w:eastAsia="zh-CN"/>
        </w:rPr>
        <w:tab/>
        <w:t>11</w:t>
      </w:r>
    </w:p>
    <w:p w14:paraId="67A8CB3C"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15. </w:t>
      </w:r>
      <w:r w:rsidRPr="00954C2B">
        <w:rPr>
          <w:rFonts w:ascii="Times New Roman" w:eastAsia="宋体" w:hAnsi="Times New Roman" w:cs="Times New Roman"/>
          <w:sz w:val="24"/>
          <w:szCs w:val="24"/>
          <w:lang w:eastAsia="zh-CN"/>
        </w:rPr>
        <w:t>参考文献列表</w:t>
      </w:r>
      <w:r w:rsidRPr="00954C2B">
        <w:rPr>
          <w:rFonts w:ascii="Times New Roman" w:eastAsia="宋体" w:hAnsi="Times New Roman" w:cs="Times New Roman"/>
          <w:sz w:val="24"/>
          <w:szCs w:val="24"/>
          <w:lang w:eastAsia="zh-CN"/>
        </w:rPr>
        <w:tab/>
        <w:t>12</w:t>
      </w:r>
    </w:p>
    <w:p w14:paraId="5189B55B" w14:textId="77777777" w:rsidR="00C44513" w:rsidRPr="00954C2B" w:rsidRDefault="00000000" w:rsidP="00C20250">
      <w:pPr>
        <w:pStyle w:val="TOC11"/>
        <w:tabs>
          <w:tab w:val="right" w:leader="dot" w:pos="9213"/>
        </w:tabs>
        <w:spacing w:line="340" w:lineRule="exact"/>
        <w:jc w:val="both"/>
        <w:rPr>
          <w:rFonts w:ascii="Times New Roman" w:eastAsia="宋体" w:hAnsi="Times New Roman" w:cs="Times New Roman"/>
          <w:sz w:val="24"/>
          <w:szCs w:val="24"/>
          <w:lang w:eastAsia="zh-CN"/>
        </w:rPr>
      </w:pPr>
      <w:r w:rsidRPr="00954C2B">
        <w:rPr>
          <w:rFonts w:ascii="Times New Roman" w:eastAsia="宋体" w:hAnsi="Times New Roman" w:cs="Times New Roman"/>
          <w:sz w:val="24"/>
          <w:szCs w:val="24"/>
          <w:lang w:eastAsia="zh-CN"/>
        </w:rPr>
        <w:t xml:space="preserve">16. </w:t>
      </w:r>
      <w:r w:rsidRPr="00954C2B">
        <w:rPr>
          <w:rFonts w:ascii="Times New Roman" w:eastAsia="宋体" w:hAnsi="Times New Roman" w:cs="Times New Roman"/>
          <w:sz w:val="24"/>
          <w:szCs w:val="24"/>
          <w:lang w:eastAsia="zh-CN"/>
        </w:rPr>
        <w:t>附录</w:t>
      </w:r>
      <w:r w:rsidRPr="00954C2B">
        <w:rPr>
          <w:rFonts w:ascii="Times New Roman" w:eastAsia="宋体" w:hAnsi="Times New Roman" w:cs="Times New Roman"/>
          <w:sz w:val="24"/>
          <w:szCs w:val="24"/>
          <w:lang w:eastAsia="zh-CN"/>
        </w:rPr>
        <w:tab/>
        <w:t>12</w:t>
      </w:r>
    </w:p>
    <w:p w14:paraId="2AFF47DD" w14:textId="77777777" w:rsidR="00C44513" w:rsidRPr="00954C2B" w:rsidRDefault="00000000" w:rsidP="00C20250">
      <w:pPr>
        <w:pStyle w:val="TOC21"/>
        <w:tabs>
          <w:tab w:val="right" w:leader="dot" w:pos="9213"/>
        </w:tabs>
        <w:spacing w:line="340" w:lineRule="exact"/>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 xml:space="preserve">16.2. </w:t>
      </w:r>
      <w:r w:rsidRPr="00954C2B">
        <w:rPr>
          <w:rFonts w:ascii="Times New Roman" w:eastAsia="宋体" w:hAnsi="Times New Roman" w:cs="Times New Roman"/>
          <w:sz w:val="22"/>
          <w:szCs w:val="24"/>
          <w:lang w:eastAsia="zh-CN"/>
        </w:rPr>
        <w:t>患者数据列表</w:t>
      </w:r>
      <w:r w:rsidRPr="00954C2B">
        <w:rPr>
          <w:rFonts w:ascii="Times New Roman" w:eastAsia="宋体" w:hAnsi="Times New Roman" w:cs="Times New Roman"/>
          <w:sz w:val="22"/>
          <w:szCs w:val="24"/>
          <w:lang w:eastAsia="zh-CN"/>
        </w:rPr>
        <w:tab/>
        <w:t>12</w:t>
      </w:r>
    </w:p>
    <w:p w14:paraId="1E74C107" w14:textId="77777777" w:rsidR="00C44513" w:rsidRPr="002622A7" w:rsidRDefault="00000000" w:rsidP="00C20250">
      <w:pPr>
        <w:jc w:val="both"/>
        <w:rPr>
          <w:rFonts w:ascii="Times New Roman" w:eastAsia="宋体" w:hAnsi="Times New Roman" w:cs="Times New Roman"/>
          <w:lang w:eastAsia="zh-CN"/>
        </w:rPr>
      </w:pPr>
      <w:r w:rsidRPr="002622A7">
        <w:rPr>
          <w:rFonts w:ascii="Times New Roman" w:eastAsia="宋体" w:hAnsi="Times New Roman" w:cs="Times New Roman"/>
          <w:lang w:eastAsia="zh-CN"/>
        </w:rPr>
        <w:br w:type="page"/>
      </w:r>
    </w:p>
    <w:p w14:paraId="001DF7EC"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lastRenderedPageBreak/>
        <w:t>4</w:t>
      </w:r>
      <w:r w:rsidRPr="00954C2B">
        <w:rPr>
          <w:rFonts w:ascii="Times New Roman" w:eastAsia="宋体" w:hAnsi="Times New Roman" w:cs="Times New Roman"/>
          <w:sz w:val="28"/>
          <w:szCs w:val="24"/>
          <w:lang w:eastAsia="zh-CN"/>
        </w:rPr>
        <w:t>．缩略语</w:t>
      </w:r>
    </w:p>
    <w:p w14:paraId="18BCCC10"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5.</w:t>
      </w:r>
      <w:r w:rsidRPr="00954C2B">
        <w:rPr>
          <w:rFonts w:ascii="Times New Roman" w:eastAsia="宋体" w:hAnsi="Times New Roman" w:cs="Times New Roman"/>
          <w:sz w:val="28"/>
          <w:szCs w:val="24"/>
          <w:lang w:eastAsia="zh-CN"/>
        </w:rPr>
        <w:t>伦理学</w:t>
      </w:r>
    </w:p>
    <w:p w14:paraId="1DED458D"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6. </w:t>
      </w:r>
      <w:r w:rsidRPr="00954C2B">
        <w:rPr>
          <w:rFonts w:ascii="Times New Roman" w:eastAsia="宋体" w:hAnsi="Times New Roman" w:cs="Times New Roman"/>
          <w:sz w:val="28"/>
          <w:szCs w:val="24"/>
          <w:lang w:eastAsia="zh-CN"/>
        </w:rPr>
        <w:t>研究者和研究管理结构</w:t>
      </w:r>
    </w:p>
    <w:p w14:paraId="3291FBDC"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7. </w:t>
      </w:r>
      <w:r w:rsidRPr="00954C2B">
        <w:rPr>
          <w:rFonts w:ascii="Times New Roman" w:eastAsia="宋体" w:hAnsi="Times New Roman" w:cs="Times New Roman"/>
          <w:sz w:val="28"/>
          <w:szCs w:val="24"/>
          <w:lang w:eastAsia="zh-CN"/>
        </w:rPr>
        <w:t>简介</w:t>
      </w:r>
    </w:p>
    <w:p w14:paraId="2577F779"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8. </w:t>
      </w:r>
      <w:r w:rsidRPr="00954C2B">
        <w:rPr>
          <w:rFonts w:ascii="Times New Roman" w:eastAsia="宋体" w:hAnsi="Times New Roman" w:cs="Times New Roman"/>
          <w:sz w:val="28"/>
          <w:szCs w:val="24"/>
          <w:lang w:eastAsia="zh-CN"/>
        </w:rPr>
        <w:t>研究目标</w:t>
      </w:r>
    </w:p>
    <w:p w14:paraId="065D9A8D"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9. </w:t>
      </w:r>
      <w:r w:rsidRPr="00954C2B">
        <w:rPr>
          <w:rFonts w:ascii="Times New Roman" w:eastAsia="宋体" w:hAnsi="Times New Roman" w:cs="Times New Roman"/>
          <w:sz w:val="28"/>
          <w:szCs w:val="24"/>
          <w:lang w:eastAsia="zh-CN"/>
        </w:rPr>
        <w:t>研究计划</w:t>
      </w:r>
    </w:p>
    <w:p w14:paraId="4FFED289"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9.5 </w:t>
      </w:r>
      <w:r w:rsidRPr="002622A7">
        <w:rPr>
          <w:rFonts w:ascii="Times New Roman" w:eastAsia="宋体" w:hAnsi="Times New Roman" w:cs="Times New Roman"/>
          <w:lang w:eastAsia="zh-CN"/>
        </w:rPr>
        <w:t>疗效和安全性变量</w:t>
      </w:r>
    </w:p>
    <w:p w14:paraId="7DDFBE43" w14:textId="77777777" w:rsidR="00C44513" w:rsidRPr="002622A7" w:rsidRDefault="00000000" w:rsidP="00C20250">
      <w:pPr>
        <w:pStyle w:val="31"/>
        <w:keepNext w:val="0"/>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9.5.1 </w:t>
      </w:r>
      <w:r w:rsidRPr="002622A7">
        <w:rPr>
          <w:rFonts w:ascii="Times New Roman" w:eastAsia="宋体" w:hAnsi="Times New Roman" w:cs="Times New Roman"/>
          <w:lang w:eastAsia="zh-CN"/>
        </w:rPr>
        <w:t>评估的疗效和安全性指标和流程图</w:t>
      </w:r>
    </w:p>
    <w:p w14:paraId="0B931125"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10. </w:t>
      </w:r>
      <w:r w:rsidRPr="00954C2B">
        <w:rPr>
          <w:rFonts w:ascii="Times New Roman" w:eastAsia="宋体" w:hAnsi="Times New Roman" w:cs="Times New Roman"/>
          <w:sz w:val="28"/>
          <w:szCs w:val="24"/>
          <w:lang w:eastAsia="zh-CN"/>
        </w:rPr>
        <w:t>研究患者</w:t>
      </w:r>
    </w:p>
    <w:p w14:paraId="24057536"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11. </w:t>
      </w:r>
      <w:r w:rsidRPr="00954C2B">
        <w:rPr>
          <w:rFonts w:ascii="Times New Roman" w:eastAsia="宋体" w:hAnsi="Times New Roman" w:cs="Times New Roman"/>
          <w:sz w:val="28"/>
          <w:szCs w:val="24"/>
          <w:lang w:eastAsia="zh-CN"/>
        </w:rPr>
        <w:t>疗效评估</w:t>
      </w:r>
    </w:p>
    <w:p w14:paraId="006E5803"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12. </w:t>
      </w:r>
      <w:r w:rsidRPr="00954C2B">
        <w:rPr>
          <w:rFonts w:ascii="Times New Roman" w:eastAsia="宋体" w:hAnsi="Times New Roman" w:cs="Times New Roman"/>
          <w:sz w:val="28"/>
          <w:szCs w:val="24"/>
          <w:lang w:eastAsia="zh-CN"/>
        </w:rPr>
        <w:t>安全性评价</w:t>
      </w:r>
    </w:p>
    <w:p w14:paraId="243311D4"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12.1 </w:t>
      </w:r>
      <w:r w:rsidRPr="002622A7">
        <w:rPr>
          <w:rFonts w:ascii="Times New Roman" w:eastAsia="宋体" w:hAnsi="Times New Roman" w:cs="Times New Roman"/>
          <w:lang w:eastAsia="zh-CN"/>
        </w:rPr>
        <w:t>暴露程度</w:t>
      </w:r>
    </w:p>
    <w:p w14:paraId="563FC855"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安全性分析集（</w:t>
      </w:r>
      <w:r w:rsidRPr="00954C2B">
        <w:rPr>
          <w:rFonts w:ascii="Times New Roman" w:eastAsia="宋体" w:hAnsi="Times New Roman" w:cs="Times New Roman"/>
          <w:sz w:val="22"/>
          <w:szCs w:val="24"/>
          <w:lang w:eastAsia="zh-CN"/>
        </w:rPr>
        <w:t>SS</w:t>
      </w:r>
      <w:r w:rsidRPr="00954C2B">
        <w:rPr>
          <w:rFonts w:ascii="Times New Roman" w:eastAsia="宋体" w:hAnsi="Times New Roman" w:cs="Times New Roman"/>
          <w:sz w:val="22"/>
          <w:szCs w:val="24"/>
          <w:lang w:eastAsia="zh-CN"/>
        </w:rPr>
        <w:t>）包括所有接受至少一次</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给药的试验参与者，共</w:t>
      </w:r>
      <w:r w:rsidRPr="00954C2B">
        <w:rPr>
          <w:rFonts w:ascii="Times New Roman" w:eastAsia="宋体" w:hAnsi="Times New Roman" w:cs="Times New Roman"/>
          <w:sz w:val="22"/>
          <w:szCs w:val="24"/>
          <w:lang w:eastAsia="zh-CN"/>
        </w:rPr>
        <w:t>30</w:t>
      </w:r>
      <w:r w:rsidRPr="00954C2B">
        <w:rPr>
          <w:rFonts w:ascii="Times New Roman" w:eastAsia="宋体" w:hAnsi="Times New Roman" w:cs="Times New Roman"/>
          <w:sz w:val="22"/>
          <w:szCs w:val="24"/>
          <w:lang w:eastAsia="zh-CN"/>
        </w:rPr>
        <w:t>例。剂量探索阶段共</w:t>
      </w:r>
      <w:r w:rsidRPr="00954C2B">
        <w:rPr>
          <w:rFonts w:ascii="Times New Roman" w:eastAsia="宋体" w:hAnsi="Times New Roman" w:cs="Times New Roman"/>
          <w:sz w:val="22"/>
          <w:szCs w:val="24"/>
          <w:lang w:eastAsia="zh-CN"/>
        </w:rPr>
        <w:t>18</w:t>
      </w:r>
      <w:r w:rsidRPr="00954C2B">
        <w:rPr>
          <w:rFonts w:ascii="Times New Roman" w:eastAsia="宋体" w:hAnsi="Times New Roman" w:cs="Times New Roman"/>
          <w:sz w:val="22"/>
          <w:szCs w:val="24"/>
          <w:lang w:eastAsia="zh-CN"/>
        </w:rPr>
        <w:t>例试验参与者接受</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治疗，其中</w:t>
      </w:r>
      <w:r w:rsidRPr="00954C2B">
        <w:rPr>
          <w:rFonts w:ascii="Times New Roman" w:eastAsia="宋体" w:hAnsi="Times New Roman" w:cs="Times New Roman"/>
          <w:sz w:val="22"/>
          <w:szCs w:val="24"/>
          <w:lang w:eastAsia="zh-CN"/>
        </w:rPr>
        <w:t>0.3 mg/kg Q3W</w:t>
      </w:r>
      <w:r w:rsidRPr="00954C2B">
        <w:rPr>
          <w:rFonts w:ascii="Times New Roman" w:eastAsia="宋体" w:hAnsi="Times New Roman" w:cs="Times New Roman"/>
          <w:sz w:val="22"/>
          <w:szCs w:val="24"/>
          <w:lang w:eastAsia="zh-CN"/>
        </w:rPr>
        <w:t>剂量组</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 mg/kg Q3W</w:t>
      </w:r>
      <w:r w:rsidRPr="00954C2B">
        <w:rPr>
          <w:rFonts w:ascii="Times New Roman" w:eastAsia="宋体" w:hAnsi="Times New Roman" w:cs="Times New Roman"/>
          <w:sz w:val="22"/>
          <w:szCs w:val="24"/>
          <w:lang w:eastAsia="zh-CN"/>
        </w:rPr>
        <w:t>剂量组</w:t>
      </w:r>
      <w:r w:rsidRPr="00954C2B">
        <w:rPr>
          <w:rFonts w:ascii="Times New Roman" w:eastAsia="宋体" w:hAnsi="Times New Roman" w:cs="Times New Roman"/>
          <w:sz w:val="22"/>
          <w:szCs w:val="24"/>
          <w:lang w:eastAsia="zh-CN"/>
        </w:rPr>
        <w:t>6</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剂量组</w:t>
      </w:r>
      <w:r w:rsidRPr="00954C2B">
        <w:rPr>
          <w:rFonts w:ascii="Times New Roman" w:eastAsia="宋体" w:hAnsi="Times New Roman" w:cs="Times New Roman"/>
          <w:sz w:val="22"/>
          <w:szCs w:val="24"/>
          <w:lang w:eastAsia="zh-CN"/>
        </w:rPr>
        <w:t>9</w:t>
      </w:r>
      <w:r w:rsidRPr="00954C2B">
        <w:rPr>
          <w:rFonts w:ascii="Times New Roman" w:eastAsia="宋体" w:hAnsi="Times New Roman" w:cs="Times New Roman"/>
          <w:sz w:val="22"/>
          <w:szCs w:val="24"/>
          <w:lang w:eastAsia="zh-CN"/>
        </w:rPr>
        <w:t>例。剂量扩展阶段共</w:t>
      </w:r>
      <w:r w:rsidRPr="00954C2B">
        <w:rPr>
          <w:rFonts w:ascii="Times New Roman" w:eastAsia="宋体" w:hAnsi="Times New Roman" w:cs="Times New Roman"/>
          <w:sz w:val="22"/>
          <w:szCs w:val="24"/>
          <w:lang w:eastAsia="zh-CN"/>
        </w:rPr>
        <w:t>12</w:t>
      </w:r>
      <w:r w:rsidRPr="00954C2B">
        <w:rPr>
          <w:rFonts w:ascii="Times New Roman" w:eastAsia="宋体" w:hAnsi="Times New Roman" w:cs="Times New Roman"/>
          <w:sz w:val="22"/>
          <w:szCs w:val="24"/>
          <w:lang w:eastAsia="zh-CN"/>
        </w:rPr>
        <w:t>例试验参与者接受</w:t>
      </w:r>
      <w:r w:rsidRPr="00954C2B">
        <w:rPr>
          <w:rFonts w:ascii="Times New Roman" w:eastAsia="宋体" w:hAnsi="Times New Roman" w:cs="Times New Roman"/>
          <w:sz w:val="22"/>
          <w:szCs w:val="24"/>
          <w:lang w:eastAsia="zh-CN"/>
        </w:rPr>
        <w:t>VT8802 3 mg/kg Q3W</w:t>
      </w:r>
      <w:r w:rsidRPr="00954C2B">
        <w:rPr>
          <w:rFonts w:ascii="Times New Roman" w:eastAsia="宋体" w:hAnsi="Times New Roman" w:cs="Times New Roman"/>
          <w:sz w:val="22"/>
          <w:szCs w:val="24"/>
          <w:lang w:eastAsia="zh-CN"/>
        </w:rPr>
        <w:t>治疗。本研究中，共</w:t>
      </w:r>
      <w:r w:rsidRPr="00954C2B">
        <w:rPr>
          <w:rFonts w:ascii="Times New Roman" w:eastAsia="宋体" w:hAnsi="Times New Roman" w:cs="Times New Roman"/>
          <w:sz w:val="22"/>
          <w:szCs w:val="24"/>
          <w:lang w:eastAsia="zh-CN"/>
        </w:rPr>
        <w:t>21</w:t>
      </w:r>
      <w:r w:rsidRPr="00954C2B">
        <w:rPr>
          <w:rFonts w:ascii="Times New Roman" w:eastAsia="宋体" w:hAnsi="Times New Roman" w:cs="Times New Roman"/>
          <w:sz w:val="22"/>
          <w:szCs w:val="24"/>
          <w:lang w:eastAsia="zh-CN"/>
        </w:rPr>
        <w:t>例试验参与者接受</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剂量水平治疗。</w:t>
      </w:r>
    </w:p>
    <w:p w14:paraId="67F553CF"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12.2 </w:t>
      </w:r>
      <w:r w:rsidRPr="002622A7">
        <w:rPr>
          <w:rFonts w:ascii="Times New Roman" w:eastAsia="宋体" w:hAnsi="Times New Roman" w:cs="Times New Roman"/>
          <w:lang w:eastAsia="zh-CN"/>
        </w:rPr>
        <w:t>不良事件</w:t>
      </w:r>
    </w:p>
    <w:p w14:paraId="499D1626"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12.2.1 </w:t>
      </w:r>
      <w:r w:rsidRPr="002622A7">
        <w:rPr>
          <w:rFonts w:ascii="Times New Roman" w:eastAsia="宋体" w:hAnsi="Times New Roman" w:cs="Times New Roman"/>
          <w:lang w:eastAsia="zh-CN"/>
        </w:rPr>
        <w:t>不良事件概要</w:t>
      </w:r>
    </w:p>
    <w:p w14:paraId="2A678380"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研究期间，共</w:t>
      </w:r>
      <w:r w:rsidRPr="00954C2B">
        <w:rPr>
          <w:rFonts w:ascii="Times New Roman" w:eastAsia="宋体" w:hAnsi="Times New Roman" w:cs="Times New Roman"/>
          <w:sz w:val="22"/>
          <w:szCs w:val="24"/>
          <w:lang w:eastAsia="zh-CN"/>
        </w:rPr>
        <w:t>28</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93.3%</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386</w:t>
      </w:r>
      <w:r w:rsidRPr="00954C2B">
        <w:rPr>
          <w:rFonts w:ascii="Times New Roman" w:eastAsia="宋体" w:hAnsi="Times New Roman" w:cs="Times New Roman"/>
          <w:sz w:val="22"/>
          <w:szCs w:val="24"/>
          <w:lang w:eastAsia="zh-CN"/>
        </w:rPr>
        <w:t>例次治疗期间出现的不良事件（</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），其中</w:t>
      </w:r>
      <w:r w:rsidRPr="00954C2B">
        <w:rPr>
          <w:rFonts w:ascii="Times New Roman" w:eastAsia="宋体" w:hAnsi="Times New Roman" w:cs="Times New Roman"/>
          <w:sz w:val="22"/>
          <w:szCs w:val="24"/>
          <w:lang w:eastAsia="zh-CN"/>
        </w:rPr>
        <w:t>24</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80.0%</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112</w:t>
      </w:r>
      <w:r w:rsidRPr="00954C2B">
        <w:rPr>
          <w:rFonts w:ascii="Times New Roman" w:eastAsia="宋体" w:hAnsi="Times New Roman" w:cs="Times New Roman"/>
          <w:sz w:val="22"/>
          <w:szCs w:val="24"/>
          <w:lang w:eastAsia="zh-CN"/>
        </w:rPr>
        <w:t>例次与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。导致暂停用药的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发生率为</w:t>
      </w:r>
      <w:r w:rsidRPr="00954C2B">
        <w:rPr>
          <w:rFonts w:ascii="Times New Roman" w:eastAsia="宋体" w:hAnsi="Times New Roman" w:cs="Times New Roman"/>
          <w:sz w:val="22"/>
          <w:szCs w:val="24"/>
          <w:lang w:eastAsia="zh-CN"/>
        </w:rPr>
        <w:t>10.0%</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例试验参与者发生</w:t>
      </w:r>
      <w:r w:rsidRPr="00954C2B">
        <w:rPr>
          <w:rFonts w:ascii="Times New Roman" w:eastAsia="宋体" w:hAnsi="Times New Roman" w:cs="Times New Roman"/>
          <w:sz w:val="22"/>
          <w:szCs w:val="24"/>
          <w:lang w:eastAsia="zh-CN"/>
        </w:rPr>
        <w:t>4</w:t>
      </w:r>
      <w:r w:rsidRPr="00954C2B">
        <w:rPr>
          <w:rFonts w:ascii="Times New Roman" w:eastAsia="宋体" w:hAnsi="Times New Roman" w:cs="Times New Roman"/>
          <w:sz w:val="22"/>
          <w:szCs w:val="24"/>
          <w:lang w:eastAsia="zh-CN"/>
        </w:rPr>
        <w:t>例次）；导致永久停药的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发生率为</w:t>
      </w:r>
      <w:r w:rsidRPr="00954C2B">
        <w:rPr>
          <w:rFonts w:ascii="Times New Roman" w:eastAsia="宋体" w:hAnsi="Times New Roman" w:cs="Times New Roman"/>
          <w:sz w:val="22"/>
          <w:szCs w:val="24"/>
          <w:lang w:eastAsia="zh-CN"/>
        </w:rPr>
        <w:t>6.7%</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例试验参与者发生</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例次）；导致退出研究的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发生率为</w:t>
      </w:r>
      <w:r w:rsidRPr="00954C2B">
        <w:rPr>
          <w:rFonts w:ascii="Times New Roman" w:eastAsia="宋体" w:hAnsi="Times New Roman" w:cs="Times New Roman"/>
          <w:sz w:val="22"/>
          <w:szCs w:val="24"/>
          <w:lang w:eastAsia="zh-CN"/>
        </w:rPr>
        <w:t>6.7%</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例试验参与者发生</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例次）。共有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8</w:t>
      </w:r>
      <w:r w:rsidRPr="00954C2B">
        <w:rPr>
          <w:rFonts w:ascii="Times New Roman" w:eastAsia="宋体" w:hAnsi="Times New Roman" w:cs="Times New Roman"/>
          <w:sz w:val="22"/>
          <w:szCs w:val="24"/>
          <w:lang w:eastAsia="zh-CN"/>
        </w:rPr>
        <w:t>例次严重不良事件（</w:t>
      </w:r>
      <w:r w:rsidRPr="00954C2B">
        <w:rPr>
          <w:rFonts w:ascii="Times New Roman" w:eastAsia="宋体" w:hAnsi="Times New Roman" w:cs="Times New Roman"/>
          <w:sz w:val="22"/>
          <w:szCs w:val="24"/>
          <w:lang w:eastAsia="zh-CN"/>
        </w:rPr>
        <w:t>SAE</w:t>
      </w:r>
      <w:r w:rsidRPr="00954C2B">
        <w:rPr>
          <w:rFonts w:ascii="Times New Roman" w:eastAsia="宋体" w:hAnsi="Times New Roman" w:cs="Times New Roman"/>
          <w:sz w:val="22"/>
          <w:szCs w:val="24"/>
          <w:lang w:eastAsia="zh-CN"/>
        </w:rPr>
        <w:t>），其中</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例次经研究者判断与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相关。研究期间共有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例试验参与者死亡，其中导致死亡的</w:t>
      </w:r>
      <w:r w:rsidRPr="00954C2B">
        <w:rPr>
          <w:rFonts w:ascii="Times New Roman" w:eastAsia="宋体" w:hAnsi="Times New Roman" w:cs="Times New Roman"/>
          <w:sz w:val="22"/>
          <w:szCs w:val="24"/>
          <w:lang w:eastAsia="zh-CN"/>
        </w:rPr>
        <w:t>TEAE 1</w:t>
      </w:r>
      <w:r w:rsidRPr="00954C2B">
        <w:rPr>
          <w:rFonts w:ascii="Times New Roman" w:eastAsia="宋体" w:hAnsi="Times New Roman" w:cs="Times New Roman"/>
          <w:sz w:val="22"/>
          <w:szCs w:val="24"/>
          <w:lang w:eastAsia="zh-CN"/>
        </w:rPr>
        <w:t>例次，为</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级呼吸衰竭，经研究者判断与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无关；其余</w:t>
      </w:r>
      <w:r w:rsidRPr="00954C2B">
        <w:rPr>
          <w:rFonts w:ascii="Times New Roman" w:eastAsia="宋体" w:hAnsi="Times New Roman" w:cs="Times New Roman"/>
          <w:sz w:val="22"/>
          <w:szCs w:val="24"/>
          <w:lang w:eastAsia="zh-CN"/>
        </w:rPr>
        <w:t>4</w:t>
      </w:r>
      <w:r w:rsidRPr="00954C2B">
        <w:rPr>
          <w:rFonts w:ascii="Times New Roman" w:eastAsia="宋体" w:hAnsi="Times New Roman" w:cs="Times New Roman"/>
          <w:sz w:val="22"/>
          <w:szCs w:val="24"/>
          <w:lang w:eastAsia="zh-CN"/>
        </w:rPr>
        <w:t>例死亡与疾病进展相关。</w:t>
      </w:r>
    </w:p>
    <w:p w14:paraId="602C9B37"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lastRenderedPageBreak/>
        <w:t xml:space="preserve">12.2.2 </w:t>
      </w:r>
      <w:r w:rsidRPr="002622A7">
        <w:rPr>
          <w:rFonts w:ascii="Times New Roman" w:eastAsia="宋体" w:hAnsi="Times New Roman" w:cs="Times New Roman"/>
          <w:lang w:eastAsia="zh-CN"/>
        </w:rPr>
        <w:t>不良事件的列出</w:t>
      </w:r>
    </w:p>
    <w:p w14:paraId="2A4B8564"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治疗期间出现的不良事件按系统器官分类和首选术语进行汇总，并按照严重程度、严重性、与研究药物的相关性、采取措施及结局进行列示。不良事件列表包括所有在研究治疗开始后发生的不良事件，不论研究者是否判断其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相关。各试验参与者不良事件明细详见附录</w:t>
      </w:r>
      <w:r w:rsidRPr="00954C2B">
        <w:rPr>
          <w:rFonts w:ascii="Times New Roman" w:eastAsia="宋体" w:hAnsi="Times New Roman" w:cs="Times New Roman"/>
          <w:sz w:val="22"/>
          <w:szCs w:val="24"/>
          <w:lang w:eastAsia="zh-CN"/>
        </w:rPr>
        <w:t>16.2.7</w:t>
      </w:r>
      <w:r w:rsidRPr="00954C2B">
        <w:rPr>
          <w:rFonts w:ascii="Times New Roman" w:eastAsia="宋体" w:hAnsi="Times New Roman" w:cs="Times New Roman"/>
          <w:sz w:val="22"/>
          <w:szCs w:val="24"/>
          <w:lang w:eastAsia="zh-CN"/>
        </w:rPr>
        <w:t>，支持性汇总表详见</w:t>
      </w:r>
      <w:r w:rsidRPr="00954C2B">
        <w:rPr>
          <w:rFonts w:ascii="Times New Roman" w:eastAsia="宋体" w:hAnsi="Times New Roman" w:cs="Times New Roman"/>
          <w:sz w:val="22"/>
          <w:szCs w:val="24"/>
          <w:lang w:eastAsia="zh-CN"/>
        </w:rPr>
        <w:t>14.3.1</w:t>
      </w:r>
      <w:r w:rsidRPr="00954C2B">
        <w:rPr>
          <w:rFonts w:ascii="Times New Roman" w:eastAsia="宋体" w:hAnsi="Times New Roman" w:cs="Times New Roman"/>
          <w:sz w:val="22"/>
          <w:szCs w:val="24"/>
          <w:lang w:eastAsia="zh-CN"/>
        </w:rPr>
        <w:t>。</w:t>
      </w:r>
    </w:p>
    <w:p w14:paraId="2E492333"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12.2.3 </w:t>
      </w:r>
      <w:r w:rsidRPr="002622A7">
        <w:rPr>
          <w:rFonts w:ascii="Times New Roman" w:eastAsia="宋体" w:hAnsi="Times New Roman" w:cs="Times New Roman"/>
          <w:lang w:eastAsia="zh-CN"/>
        </w:rPr>
        <w:t>不良事件分析</w:t>
      </w:r>
    </w:p>
    <w:p w14:paraId="46D81526"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发生率</w:t>
      </w:r>
      <w:r w:rsidRPr="00954C2B">
        <w:rPr>
          <w:rFonts w:ascii="Times New Roman" w:eastAsia="宋体" w:hAnsi="Times New Roman" w:cs="Times New Roman"/>
          <w:sz w:val="22"/>
          <w:szCs w:val="24"/>
          <w:lang w:eastAsia="zh-CN"/>
        </w:rPr>
        <w:t>≥10%</w:t>
      </w:r>
      <w:r w:rsidRPr="00954C2B">
        <w:rPr>
          <w:rFonts w:ascii="Times New Roman" w:eastAsia="宋体" w:hAnsi="Times New Roman" w:cs="Times New Roman"/>
          <w:sz w:val="22"/>
          <w:szCs w:val="24"/>
          <w:lang w:eastAsia="zh-CN"/>
        </w:rPr>
        <w:t>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包括贫血（</w:t>
      </w:r>
      <w:r w:rsidRPr="00954C2B">
        <w:rPr>
          <w:rFonts w:ascii="Times New Roman" w:eastAsia="宋体" w:hAnsi="Times New Roman" w:cs="Times New Roman"/>
          <w:sz w:val="22"/>
          <w:szCs w:val="24"/>
          <w:lang w:eastAsia="zh-CN"/>
        </w:rPr>
        <w:t>40.0%</w:t>
      </w:r>
      <w:r w:rsidRPr="00954C2B">
        <w:rPr>
          <w:rFonts w:ascii="Times New Roman" w:eastAsia="宋体" w:hAnsi="Times New Roman" w:cs="Times New Roman"/>
          <w:sz w:val="22"/>
          <w:szCs w:val="24"/>
          <w:lang w:eastAsia="zh-CN"/>
        </w:rPr>
        <w:t>）、乏力（</w:t>
      </w:r>
      <w:r w:rsidRPr="00954C2B">
        <w:rPr>
          <w:rFonts w:ascii="Times New Roman" w:eastAsia="宋体" w:hAnsi="Times New Roman" w:cs="Times New Roman"/>
          <w:sz w:val="22"/>
          <w:szCs w:val="24"/>
          <w:lang w:eastAsia="zh-CN"/>
        </w:rPr>
        <w:t>36.7%</w:t>
      </w:r>
      <w:r w:rsidRPr="00954C2B">
        <w:rPr>
          <w:rFonts w:ascii="Times New Roman" w:eastAsia="宋体" w:hAnsi="Times New Roman" w:cs="Times New Roman"/>
          <w:sz w:val="22"/>
          <w:szCs w:val="24"/>
          <w:lang w:eastAsia="zh-CN"/>
        </w:rPr>
        <w:t>）、恶心（</w:t>
      </w:r>
      <w:r w:rsidRPr="00954C2B">
        <w:rPr>
          <w:rFonts w:ascii="Times New Roman" w:eastAsia="宋体" w:hAnsi="Times New Roman" w:cs="Times New Roman"/>
          <w:sz w:val="22"/>
          <w:szCs w:val="24"/>
          <w:lang w:eastAsia="zh-CN"/>
        </w:rPr>
        <w:t>30.0%</w:t>
      </w:r>
      <w:r w:rsidRPr="00954C2B">
        <w:rPr>
          <w:rFonts w:ascii="Times New Roman" w:eastAsia="宋体" w:hAnsi="Times New Roman" w:cs="Times New Roman"/>
          <w:sz w:val="22"/>
          <w:szCs w:val="24"/>
          <w:lang w:eastAsia="zh-CN"/>
        </w:rPr>
        <w:t>）、发热（</w:t>
      </w:r>
      <w:r w:rsidRPr="00954C2B">
        <w:rPr>
          <w:rFonts w:ascii="Times New Roman" w:eastAsia="宋体" w:hAnsi="Times New Roman" w:cs="Times New Roman"/>
          <w:sz w:val="22"/>
          <w:szCs w:val="24"/>
          <w:lang w:eastAsia="zh-CN"/>
        </w:rPr>
        <w:t>26.7%</w:t>
      </w:r>
      <w:r w:rsidRPr="00954C2B">
        <w:rPr>
          <w:rFonts w:ascii="Times New Roman" w:eastAsia="宋体" w:hAnsi="Times New Roman" w:cs="Times New Roman"/>
          <w:sz w:val="22"/>
          <w:szCs w:val="24"/>
          <w:lang w:eastAsia="zh-CN"/>
        </w:rPr>
        <w:t>）、皮疹（</w:t>
      </w:r>
      <w:r w:rsidRPr="00954C2B">
        <w:rPr>
          <w:rFonts w:ascii="Times New Roman" w:eastAsia="宋体" w:hAnsi="Times New Roman" w:cs="Times New Roman"/>
          <w:sz w:val="22"/>
          <w:szCs w:val="24"/>
          <w:lang w:eastAsia="zh-CN"/>
        </w:rPr>
        <w:t>23.3%</w:t>
      </w:r>
      <w:r w:rsidRPr="00954C2B">
        <w:rPr>
          <w:rFonts w:ascii="Times New Roman" w:eastAsia="宋体" w:hAnsi="Times New Roman" w:cs="Times New Roman"/>
          <w:sz w:val="22"/>
          <w:szCs w:val="24"/>
          <w:lang w:eastAsia="zh-CN"/>
        </w:rPr>
        <w:t>）、食欲下降（</w:t>
      </w:r>
      <w:r w:rsidRPr="00954C2B">
        <w:rPr>
          <w:rFonts w:ascii="Times New Roman" w:eastAsia="宋体" w:hAnsi="Times New Roman" w:cs="Times New Roman"/>
          <w:sz w:val="22"/>
          <w:szCs w:val="24"/>
          <w:lang w:eastAsia="zh-CN"/>
        </w:rPr>
        <w:t>20.0%</w:t>
      </w:r>
      <w:r w:rsidRPr="00954C2B">
        <w:rPr>
          <w:rFonts w:ascii="Times New Roman" w:eastAsia="宋体" w:hAnsi="Times New Roman" w:cs="Times New Roman"/>
          <w:sz w:val="22"/>
          <w:szCs w:val="24"/>
          <w:lang w:eastAsia="zh-CN"/>
        </w:rPr>
        <w:t>）、丙氨酸氨基转移酶升高（</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）、腹泻（</w:t>
      </w:r>
      <w:r w:rsidRPr="00954C2B">
        <w:rPr>
          <w:rFonts w:ascii="Times New Roman" w:eastAsia="宋体" w:hAnsi="Times New Roman" w:cs="Times New Roman"/>
          <w:sz w:val="22"/>
          <w:szCs w:val="24"/>
          <w:lang w:eastAsia="zh-CN"/>
        </w:rPr>
        <w:t>13.3%</w:t>
      </w:r>
      <w:r w:rsidRPr="00954C2B">
        <w:rPr>
          <w:rFonts w:ascii="Times New Roman" w:eastAsia="宋体" w:hAnsi="Times New Roman" w:cs="Times New Roman"/>
          <w:sz w:val="22"/>
          <w:szCs w:val="24"/>
          <w:lang w:eastAsia="zh-CN"/>
        </w:rPr>
        <w:t>）、输液相关反应（</w:t>
      </w:r>
      <w:r w:rsidRPr="00954C2B">
        <w:rPr>
          <w:rFonts w:ascii="Times New Roman" w:eastAsia="宋体" w:hAnsi="Times New Roman" w:cs="Times New Roman"/>
          <w:sz w:val="22"/>
          <w:szCs w:val="24"/>
          <w:lang w:eastAsia="zh-CN"/>
        </w:rPr>
        <w:t>13.3%</w:t>
      </w:r>
      <w:r w:rsidRPr="00954C2B">
        <w:rPr>
          <w:rFonts w:ascii="Times New Roman" w:eastAsia="宋体" w:hAnsi="Times New Roman" w:cs="Times New Roman"/>
          <w:sz w:val="22"/>
          <w:szCs w:val="24"/>
          <w:lang w:eastAsia="zh-CN"/>
        </w:rPr>
        <w:t>）、甲状腺功能减退症（</w:t>
      </w:r>
      <w:r w:rsidRPr="00954C2B">
        <w:rPr>
          <w:rFonts w:ascii="Times New Roman" w:eastAsia="宋体" w:hAnsi="Times New Roman" w:cs="Times New Roman"/>
          <w:sz w:val="22"/>
          <w:szCs w:val="24"/>
          <w:lang w:eastAsia="zh-CN"/>
        </w:rPr>
        <w:t>10.0%</w:t>
      </w:r>
      <w:r w:rsidRPr="00954C2B">
        <w:rPr>
          <w:rFonts w:ascii="Times New Roman" w:eastAsia="宋体" w:hAnsi="Times New Roman" w:cs="Times New Roman"/>
          <w:sz w:val="22"/>
          <w:szCs w:val="24"/>
          <w:lang w:eastAsia="zh-CN"/>
        </w:rPr>
        <w:t>）及感染性肺炎（</w:t>
      </w:r>
      <w:r w:rsidRPr="00954C2B">
        <w:rPr>
          <w:rFonts w:ascii="Times New Roman" w:eastAsia="宋体" w:hAnsi="Times New Roman" w:cs="Times New Roman"/>
          <w:sz w:val="22"/>
          <w:szCs w:val="24"/>
          <w:lang w:eastAsia="zh-CN"/>
        </w:rPr>
        <w:t>10.0%</w:t>
      </w:r>
      <w:r w:rsidRPr="00954C2B">
        <w:rPr>
          <w:rFonts w:ascii="Times New Roman" w:eastAsia="宋体" w:hAnsi="Times New Roman" w:cs="Times New Roman"/>
          <w:sz w:val="22"/>
          <w:szCs w:val="24"/>
          <w:lang w:eastAsia="zh-CN"/>
        </w:rPr>
        <w:t>）。发生率</w:t>
      </w:r>
      <w:r w:rsidRPr="00954C2B">
        <w:rPr>
          <w:rFonts w:ascii="Times New Roman" w:eastAsia="宋体" w:hAnsi="Times New Roman" w:cs="Times New Roman"/>
          <w:sz w:val="22"/>
          <w:szCs w:val="24"/>
          <w:lang w:eastAsia="zh-CN"/>
        </w:rPr>
        <w:t>≥10%</w:t>
      </w:r>
      <w:r w:rsidRPr="00954C2B">
        <w:rPr>
          <w:rFonts w:ascii="Times New Roman" w:eastAsia="宋体" w:hAnsi="Times New Roman" w:cs="Times New Roman"/>
          <w:sz w:val="22"/>
          <w:szCs w:val="24"/>
          <w:lang w:eastAsia="zh-CN"/>
        </w:rPr>
        <w:t>的不良反应（</w:t>
      </w:r>
      <w:r w:rsidRPr="00954C2B">
        <w:rPr>
          <w:rFonts w:ascii="Times New Roman" w:eastAsia="宋体" w:hAnsi="Times New Roman" w:cs="Times New Roman"/>
          <w:sz w:val="22"/>
          <w:szCs w:val="24"/>
          <w:lang w:eastAsia="zh-CN"/>
        </w:rPr>
        <w:t>ADR</w:t>
      </w:r>
      <w:r w:rsidRPr="00954C2B">
        <w:rPr>
          <w:rFonts w:ascii="Times New Roman" w:eastAsia="宋体" w:hAnsi="Times New Roman" w:cs="Times New Roman"/>
          <w:sz w:val="22"/>
          <w:szCs w:val="24"/>
          <w:lang w:eastAsia="zh-CN"/>
        </w:rPr>
        <w:t>）包括乏力（</w:t>
      </w:r>
      <w:r w:rsidRPr="00954C2B">
        <w:rPr>
          <w:rFonts w:ascii="Times New Roman" w:eastAsia="宋体" w:hAnsi="Times New Roman" w:cs="Times New Roman"/>
          <w:sz w:val="22"/>
          <w:szCs w:val="24"/>
          <w:lang w:eastAsia="zh-CN"/>
        </w:rPr>
        <w:t>26.7%</w:t>
      </w:r>
      <w:r w:rsidRPr="00954C2B">
        <w:rPr>
          <w:rFonts w:ascii="Times New Roman" w:eastAsia="宋体" w:hAnsi="Times New Roman" w:cs="Times New Roman"/>
          <w:sz w:val="22"/>
          <w:szCs w:val="24"/>
          <w:lang w:eastAsia="zh-CN"/>
        </w:rPr>
        <w:t>）、恶心（</w:t>
      </w:r>
      <w:r w:rsidRPr="00954C2B">
        <w:rPr>
          <w:rFonts w:ascii="Times New Roman" w:eastAsia="宋体" w:hAnsi="Times New Roman" w:cs="Times New Roman"/>
          <w:sz w:val="22"/>
          <w:szCs w:val="24"/>
          <w:lang w:eastAsia="zh-CN"/>
        </w:rPr>
        <w:t>23.3%</w:t>
      </w:r>
      <w:r w:rsidRPr="00954C2B">
        <w:rPr>
          <w:rFonts w:ascii="Times New Roman" w:eastAsia="宋体" w:hAnsi="Times New Roman" w:cs="Times New Roman"/>
          <w:sz w:val="22"/>
          <w:szCs w:val="24"/>
          <w:lang w:eastAsia="zh-CN"/>
        </w:rPr>
        <w:t>）、皮疹（</w:t>
      </w:r>
      <w:r w:rsidRPr="00954C2B">
        <w:rPr>
          <w:rFonts w:ascii="Times New Roman" w:eastAsia="宋体" w:hAnsi="Times New Roman" w:cs="Times New Roman"/>
          <w:sz w:val="22"/>
          <w:szCs w:val="24"/>
          <w:lang w:eastAsia="zh-CN"/>
        </w:rPr>
        <w:t>20.0%</w:t>
      </w:r>
      <w:r w:rsidRPr="00954C2B">
        <w:rPr>
          <w:rFonts w:ascii="Times New Roman" w:eastAsia="宋体" w:hAnsi="Times New Roman" w:cs="Times New Roman"/>
          <w:sz w:val="22"/>
          <w:szCs w:val="24"/>
          <w:lang w:eastAsia="zh-CN"/>
        </w:rPr>
        <w:t>）、输液相关反应（</w:t>
      </w:r>
      <w:r w:rsidRPr="00954C2B">
        <w:rPr>
          <w:rFonts w:ascii="Times New Roman" w:eastAsia="宋体" w:hAnsi="Times New Roman" w:cs="Times New Roman"/>
          <w:sz w:val="22"/>
          <w:szCs w:val="24"/>
          <w:lang w:eastAsia="zh-CN"/>
        </w:rPr>
        <w:t>13.3%</w:t>
      </w:r>
      <w:r w:rsidRPr="00954C2B">
        <w:rPr>
          <w:rFonts w:ascii="Times New Roman" w:eastAsia="宋体" w:hAnsi="Times New Roman" w:cs="Times New Roman"/>
          <w:sz w:val="22"/>
          <w:szCs w:val="24"/>
          <w:lang w:eastAsia="zh-CN"/>
        </w:rPr>
        <w:t>）、丙氨酸氨基转移酶升高（</w:t>
      </w:r>
      <w:r w:rsidRPr="00954C2B">
        <w:rPr>
          <w:rFonts w:ascii="Times New Roman" w:eastAsia="宋体" w:hAnsi="Times New Roman" w:cs="Times New Roman"/>
          <w:sz w:val="22"/>
          <w:szCs w:val="24"/>
          <w:lang w:eastAsia="zh-CN"/>
        </w:rPr>
        <w:t>13.3%</w:t>
      </w:r>
      <w:r w:rsidRPr="00954C2B">
        <w:rPr>
          <w:rFonts w:ascii="Times New Roman" w:eastAsia="宋体" w:hAnsi="Times New Roman" w:cs="Times New Roman"/>
          <w:sz w:val="22"/>
          <w:szCs w:val="24"/>
          <w:lang w:eastAsia="zh-CN"/>
        </w:rPr>
        <w:t>）、甲状腺功能减退症（</w:t>
      </w:r>
      <w:r w:rsidRPr="00954C2B">
        <w:rPr>
          <w:rFonts w:ascii="Times New Roman" w:eastAsia="宋体" w:hAnsi="Times New Roman" w:cs="Times New Roman"/>
          <w:sz w:val="22"/>
          <w:szCs w:val="24"/>
          <w:lang w:eastAsia="zh-CN"/>
        </w:rPr>
        <w:t>10.0%</w:t>
      </w:r>
      <w:r w:rsidRPr="00954C2B">
        <w:rPr>
          <w:rFonts w:ascii="Times New Roman" w:eastAsia="宋体" w:hAnsi="Times New Roman" w:cs="Times New Roman"/>
          <w:sz w:val="22"/>
          <w:szCs w:val="24"/>
          <w:lang w:eastAsia="zh-CN"/>
        </w:rPr>
        <w:t>）及腹泻（</w:t>
      </w:r>
      <w:r w:rsidRPr="00954C2B">
        <w:rPr>
          <w:rFonts w:ascii="Times New Roman" w:eastAsia="宋体" w:hAnsi="Times New Roman" w:cs="Times New Roman"/>
          <w:sz w:val="22"/>
          <w:szCs w:val="24"/>
          <w:lang w:eastAsia="zh-CN"/>
        </w:rPr>
        <w:t>10.0%</w:t>
      </w:r>
      <w:r w:rsidRPr="00954C2B">
        <w:rPr>
          <w:rFonts w:ascii="Times New Roman" w:eastAsia="宋体" w:hAnsi="Times New Roman" w:cs="Times New Roman"/>
          <w:sz w:val="22"/>
          <w:szCs w:val="24"/>
          <w:lang w:eastAsia="zh-CN"/>
        </w:rPr>
        <w:t>）。研究期间共有</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级</w:t>
      </w:r>
      <w:r w:rsidRPr="00954C2B">
        <w:rPr>
          <w:rFonts w:ascii="Times New Roman" w:eastAsia="宋体" w:hAnsi="Times New Roman" w:cs="Times New Roman"/>
          <w:sz w:val="22"/>
          <w:szCs w:val="24"/>
          <w:lang w:eastAsia="zh-CN"/>
        </w:rPr>
        <w:t>ADR</w:t>
      </w:r>
      <w:r w:rsidRPr="00954C2B">
        <w:rPr>
          <w:rFonts w:ascii="Times New Roman" w:eastAsia="宋体" w:hAnsi="Times New Roman" w:cs="Times New Roman"/>
          <w:sz w:val="22"/>
          <w:szCs w:val="24"/>
          <w:lang w:eastAsia="zh-CN"/>
        </w:rPr>
        <w:t>，包括丙氨酸氨基转移酶升高（</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例）、药物诱导的肝损伤（</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例）、输液相关反应（</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例）及感染性肺炎（</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w:t>
      </w:r>
    </w:p>
    <w:p w14:paraId="6AB0206E"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16.7%</w:t>
      </w:r>
      <w:r w:rsidRPr="00954C2B">
        <w:rPr>
          <w:rFonts w:ascii="Times New Roman" w:eastAsia="宋体" w:hAnsi="Times New Roman" w:cs="Times New Roman"/>
          <w:sz w:val="22"/>
          <w:szCs w:val="24"/>
          <w:lang w:eastAsia="zh-CN"/>
        </w:rPr>
        <w:t>）试验参与者发生</w:t>
      </w:r>
      <w:r w:rsidRPr="00954C2B">
        <w:rPr>
          <w:rFonts w:ascii="Times New Roman" w:eastAsia="宋体" w:hAnsi="Times New Roman" w:cs="Times New Roman"/>
          <w:sz w:val="22"/>
          <w:szCs w:val="24"/>
          <w:lang w:eastAsia="zh-CN"/>
        </w:rPr>
        <w:t>8</w:t>
      </w:r>
      <w:r w:rsidRPr="00954C2B">
        <w:rPr>
          <w:rFonts w:ascii="Times New Roman" w:eastAsia="宋体" w:hAnsi="Times New Roman" w:cs="Times New Roman"/>
          <w:sz w:val="22"/>
          <w:szCs w:val="24"/>
          <w:lang w:eastAsia="zh-CN"/>
        </w:rPr>
        <w:t>例次严重不良事件（</w:t>
      </w:r>
      <w:r w:rsidRPr="00954C2B">
        <w:rPr>
          <w:rFonts w:ascii="Times New Roman" w:eastAsia="宋体" w:hAnsi="Times New Roman" w:cs="Times New Roman"/>
          <w:sz w:val="22"/>
          <w:szCs w:val="24"/>
          <w:lang w:eastAsia="zh-CN"/>
        </w:rPr>
        <w:t>SAE</w:t>
      </w:r>
      <w:r w:rsidRPr="00954C2B">
        <w:rPr>
          <w:rFonts w:ascii="Times New Roman" w:eastAsia="宋体" w:hAnsi="Times New Roman" w:cs="Times New Roman"/>
          <w:sz w:val="22"/>
          <w:szCs w:val="24"/>
          <w:lang w:eastAsia="zh-CN"/>
        </w:rPr>
        <w:t>），包括感染性肺炎（</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6.7%</w:t>
      </w:r>
      <w:r w:rsidRPr="00954C2B">
        <w:rPr>
          <w:rFonts w:ascii="Times New Roman" w:eastAsia="宋体" w:hAnsi="Times New Roman" w:cs="Times New Roman"/>
          <w:sz w:val="22"/>
          <w:szCs w:val="24"/>
          <w:lang w:eastAsia="zh-CN"/>
        </w:rPr>
        <w:t>）、药物诱导的肝损伤、呼吸衰竭、发热、贫血、肠梗阻及肺栓塞（各</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3.3%</w:t>
      </w:r>
      <w:r w:rsidRPr="00954C2B">
        <w:rPr>
          <w:rFonts w:ascii="Times New Roman" w:eastAsia="宋体" w:hAnsi="Times New Roman" w:cs="Times New Roman"/>
          <w:sz w:val="22"/>
          <w:szCs w:val="24"/>
          <w:lang w:eastAsia="zh-CN"/>
        </w:rPr>
        <w:t>）。其中，与研究药物相关的为感染性肺炎（</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例）及药物诱导的肝损伤（</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例），均为非预期严重不良反应（</w:t>
      </w:r>
      <w:r w:rsidRPr="00954C2B">
        <w:rPr>
          <w:rFonts w:ascii="Times New Roman" w:eastAsia="宋体" w:hAnsi="Times New Roman" w:cs="Times New Roman"/>
          <w:sz w:val="22"/>
          <w:szCs w:val="24"/>
          <w:lang w:eastAsia="zh-CN"/>
        </w:rPr>
        <w:t>SUSAR</w:t>
      </w:r>
      <w:r w:rsidRPr="00954C2B">
        <w:rPr>
          <w:rFonts w:ascii="Times New Roman" w:eastAsia="宋体" w:hAnsi="Times New Roman" w:cs="Times New Roman"/>
          <w:sz w:val="22"/>
          <w:szCs w:val="24"/>
          <w:lang w:eastAsia="zh-CN"/>
        </w:rPr>
        <w:t>）。导致暂停用药的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包括输液相关反应、丙氨酸氨基转移酶升高、皮疹及发热，其中与研究药物相关的为输液相关反应、丙氨酸氨基转移酶升高及皮疹。导致永久停药的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包括药物诱导的肝损伤及感染性肺炎，均与研究药物相关。导致退出研究的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包括呼吸衰竭及肺栓塞，与研究药物无关。</w:t>
      </w:r>
    </w:p>
    <w:p w14:paraId="01D8FCB3"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研究期间共有</w:t>
      </w:r>
      <w:r w:rsidRPr="00954C2B">
        <w:rPr>
          <w:rFonts w:ascii="Times New Roman" w:eastAsia="宋体" w:hAnsi="Times New Roman" w:cs="Times New Roman"/>
          <w:sz w:val="22"/>
          <w:szCs w:val="24"/>
          <w:lang w:eastAsia="zh-CN"/>
        </w:rPr>
        <w:t>17</w:t>
      </w:r>
      <w:r w:rsidRPr="00954C2B">
        <w:rPr>
          <w:rFonts w:ascii="Times New Roman" w:eastAsia="宋体" w:hAnsi="Times New Roman" w:cs="Times New Roman"/>
          <w:sz w:val="22"/>
          <w:szCs w:val="24"/>
          <w:lang w:eastAsia="zh-CN"/>
        </w:rPr>
        <w:t>例（</w:t>
      </w:r>
      <w:r w:rsidRPr="00954C2B">
        <w:rPr>
          <w:rFonts w:ascii="Times New Roman" w:eastAsia="宋体" w:hAnsi="Times New Roman" w:cs="Times New Roman"/>
          <w:sz w:val="22"/>
          <w:szCs w:val="24"/>
          <w:lang w:eastAsia="zh-CN"/>
        </w:rPr>
        <w:t>56.7%</w:t>
      </w:r>
      <w:r w:rsidRPr="00954C2B">
        <w:rPr>
          <w:rFonts w:ascii="Times New Roman" w:eastAsia="宋体" w:hAnsi="Times New Roman" w:cs="Times New Roman"/>
          <w:sz w:val="22"/>
          <w:szCs w:val="24"/>
          <w:lang w:eastAsia="zh-CN"/>
        </w:rPr>
        <w:t>）试验参与者发生免疫相关不良事件（</w:t>
      </w:r>
      <w:r w:rsidRPr="00954C2B">
        <w:rPr>
          <w:rFonts w:ascii="Times New Roman" w:eastAsia="宋体" w:hAnsi="Times New Roman" w:cs="Times New Roman"/>
          <w:sz w:val="22"/>
          <w:szCs w:val="24"/>
          <w:lang w:eastAsia="zh-CN"/>
        </w:rPr>
        <w:t>irAE</w:t>
      </w:r>
      <w:r w:rsidRPr="00954C2B">
        <w:rPr>
          <w:rFonts w:ascii="Times New Roman" w:eastAsia="宋体" w:hAnsi="Times New Roman" w:cs="Times New Roman"/>
          <w:sz w:val="22"/>
          <w:szCs w:val="24"/>
          <w:lang w:eastAsia="zh-CN"/>
        </w:rPr>
        <w:t>），包括皮疹、甲状腺功能减退症、丙氨酸氨基转移酶升高、腹泻、间质性肺疾病、感染性肺炎及药物诱导的肝损伤。其中，</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级免疫相关不良事件有感染性肺炎、药物诱导的肝损伤及丙氨酸氨基转移酶升高。</w:t>
      </w:r>
    </w:p>
    <w:p w14:paraId="7C62FF3E"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12.2.4 </w:t>
      </w:r>
      <w:r w:rsidRPr="002622A7">
        <w:rPr>
          <w:rFonts w:ascii="Times New Roman" w:eastAsia="宋体" w:hAnsi="Times New Roman" w:cs="Times New Roman"/>
          <w:lang w:eastAsia="zh-CN"/>
        </w:rPr>
        <w:t>各试验参与者不良事件列表</w:t>
      </w:r>
    </w:p>
    <w:p w14:paraId="7CE6F1C5"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各试验参与者不良事件列表详见附录</w:t>
      </w:r>
      <w:r w:rsidRPr="00954C2B">
        <w:rPr>
          <w:rFonts w:ascii="Times New Roman" w:eastAsia="宋体" w:hAnsi="Times New Roman" w:cs="Times New Roman"/>
          <w:sz w:val="22"/>
          <w:szCs w:val="24"/>
          <w:lang w:eastAsia="zh-CN"/>
        </w:rPr>
        <w:t>16.2.7</w:t>
      </w:r>
      <w:r w:rsidRPr="00954C2B">
        <w:rPr>
          <w:rFonts w:ascii="Times New Roman" w:eastAsia="宋体" w:hAnsi="Times New Roman" w:cs="Times New Roman"/>
          <w:sz w:val="22"/>
          <w:szCs w:val="24"/>
          <w:lang w:eastAsia="zh-CN"/>
        </w:rPr>
        <w:t>。</w:t>
      </w:r>
    </w:p>
    <w:p w14:paraId="42D61A43"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12.3 </w:t>
      </w:r>
      <w:r w:rsidRPr="002622A7">
        <w:rPr>
          <w:rFonts w:ascii="Times New Roman" w:eastAsia="宋体" w:hAnsi="Times New Roman" w:cs="Times New Roman"/>
          <w:lang w:eastAsia="zh-CN"/>
        </w:rPr>
        <w:t>死亡、其他严重不良事件和其他重要不良事件</w:t>
      </w:r>
    </w:p>
    <w:p w14:paraId="2ABA5462"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12.3.1 </w:t>
      </w:r>
      <w:r w:rsidRPr="002622A7">
        <w:rPr>
          <w:rFonts w:ascii="Times New Roman" w:eastAsia="宋体" w:hAnsi="Times New Roman" w:cs="Times New Roman"/>
          <w:lang w:eastAsia="zh-CN"/>
        </w:rPr>
        <w:t>死亡、其他严重不良事件和其他重要不良事件列表</w:t>
      </w:r>
    </w:p>
    <w:p w14:paraId="4943F77D" w14:textId="77777777" w:rsidR="00C44513" w:rsidRPr="00954C2B" w:rsidRDefault="00000000" w:rsidP="00C20250">
      <w:pPr>
        <w:pStyle w:val="4"/>
        <w:jc w:val="both"/>
        <w:rPr>
          <w:rFonts w:ascii="Times New Roman" w:eastAsia="宋体" w:hAnsi="Times New Roman" w:cs="Times New Roman"/>
          <w:i w:val="0"/>
          <w:iCs w:val="0"/>
          <w:lang w:eastAsia="zh-CN"/>
        </w:rPr>
      </w:pPr>
      <w:r w:rsidRPr="00954C2B">
        <w:rPr>
          <w:rFonts w:ascii="Times New Roman" w:eastAsia="宋体" w:hAnsi="Times New Roman" w:cs="Times New Roman"/>
          <w:i w:val="0"/>
          <w:iCs w:val="0"/>
          <w:lang w:eastAsia="zh-CN"/>
        </w:rPr>
        <w:t xml:space="preserve">12.3.1.1 </w:t>
      </w:r>
      <w:r w:rsidRPr="00954C2B">
        <w:rPr>
          <w:rFonts w:ascii="Times New Roman" w:eastAsia="宋体" w:hAnsi="Times New Roman" w:cs="Times New Roman"/>
          <w:i w:val="0"/>
          <w:iCs w:val="0"/>
          <w:lang w:eastAsia="zh-CN"/>
        </w:rPr>
        <w:t>死亡</w:t>
      </w:r>
    </w:p>
    <w:p w14:paraId="4F7A3F9D" w14:textId="77777777" w:rsidR="00C44513" w:rsidRPr="00954C2B" w:rsidRDefault="00000000" w:rsidP="00C20250">
      <w:pPr>
        <w:spacing w:line="348" w:lineRule="auto"/>
        <w:ind w:firstLine="420"/>
        <w:jc w:val="both"/>
        <w:rPr>
          <w:rFonts w:ascii="Times New Roman" w:eastAsia="宋体" w:hAnsi="Times New Roman" w:cs="Times New Roman"/>
          <w:sz w:val="24"/>
          <w:szCs w:val="28"/>
          <w:lang w:eastAsia="zh-CN"/>
        </w:rPr>
      </w:pPr>
      <w:r w:rsidRPr="00954C2B">
        <w:rPr>
          <w:rFonts w:ascii="Times New Roman" w:eastAsia="宋体" w:hAnsi="Times New Roman" w:cs="Times New Roman"/>
          <w:sz w:val="24"/>
          <w:szCs w:val="28"/>
          <w:lang w:eastAsia="zh-CN"/>
        </w:rPr>
        <w:t>研究期间共有</w:t>
      </w:r>
      <w:r w:rsidRPr="00954C2B">
        <w:rPr>
          <w:rFonts w:ascii="Times New Roman" w:eastAsia="宋体" w:hAnsi="Times New Roman" w:cs="Times New Roman"/>
          <w:sz w:val="24"/>
          <w:szCs w:val="28"/>
          <w:lang w:eastAsia="zh-CN"/>
        </w:rPr>
        <w:t>5</w:t>
      </w:r>
      <w:r w:rsidRPr="00954C2B">
        <w:rPr>
          <w:rFonts w:ascii="Times New Roman" w:eastAsia="宋体" w:hAnsi="Times New Roman" w:cs="Times New Roman"/>
          <w:sz w:val="24"/>
          <w:szCs w:val="28"/>
          <w:lang w:eastAsia="zh-CN"/>
        </w:rPr>
        <w:t>例试验参与者死亡，其中</w:t>
      </w:r>
      <w:r w:rsidRPr="00954C2B">
        <w:rPr>
          <w:rFonts w:ascii="Times New Roman" w:eastAsia="宋体" w:hAnsi="Times New Roman" w:cs="Times New Roman"/>
          <w:sz w:val="24"/>
          <w:szCs w:val="28"/>
          <w:lang w:eastAsia="zh-CN"/>
        </w:rPr>
        <w:t>1</w:t>
      </w:r>
      <w:r w:rsidRPr="00954C2B">
        <w:rPr>
          <w:rFonts w:ascii="Times New Roman" w:eastAsia="宋体" w:hAnsi="Times New Roman" w:cs="Times New Roman"/>
          <w:sz w:val="24"/>
          <w:szCs w:val="28"/>
          <w:lang w:eastAsia="zh-CN"/>
        </w:rPr>
        <w:t>例发生导致死亡的</w:t>
      </w:r>
      <w:r w:rsidRPr="00954C2B">
        <w:rPr>
          <w:rFonts w:ascii="Times New Roman" w:eastAsia="宋体" w:hAnsi="Times New Roman" w:cs="Times New Roman"/>
          <w:sz w:val="24"/>
          <w:szCs w:val="28"/>
          <w:lang w:eastAsia="zh-CN"/>
        </w:rPr>
        <w:t>TEAE</w:t>
      </w:r>
      <w:r w:rsidRPr="00954C2B">
        <w:rPr>
          <w:rFonts w:ascii="Times New Roman" w:eastAsia="宋体" w:hAnsi="Times New Roman" w:cs="Times New Roman"/>
          <w:sz w:val="24"/>
          <w:szCs w:val="28"/>
          <w:lang w:eastAsia="zh-CN"/>
        </w:rPr>
        <w:t>，为</w:t>
      </w:r>
      <w:r w:rsidRPr="00954C2B">
        <w:rPr>
          <w:rFonts w:ascii="Times New Roman" w:eastAsia="宋体" w:hAnsi="Times New Roman" w:cs="Times New Roman"/>
          <w:sz w:val="24"/>
          <w:szCs w:val="28"/>
          <w:lang w:eastAsia="zh-CN"/>
        </w:rPr>
        <w:t>5</w:t>
      </w:r>
      <w:r w:rsidRPr="00954C2B">
        <w:rPr>
          <w:rFonts w:ascii="Times New Roman" w:eastAsia="宋体" w:hAnsi="Times New Roman" w:cs="Times New Roman"/>
          <w:sz w:val="24"/>
          <w:szCs w:val="28"/>
          <w:lang w:eastAsia="zh-CN"/>
        </w:rPr>
        <w:t>级呼吸衰竭，与研究药物无关；其余</w:t>
      </w:r>
      <w:r w:rsidRPr="00954C2B">
        <w:rPr>
          <w:rFonts w:ascii="Times New Roman" w:eastAsia="宋体" w:hAnsi="Times New Roman" w:cs="Times New Roman"/>
          <w:sz w:val="24"/>
          <w:szCs w:val="28"/>
          <w:lang w:eastAsia="zh-CN"/>
        </w:rPr>
        <w:t>4</w:t>
      </w:r>
      <w:r w:rsidRPr="00954C2B">
        <w:rPr>
          <w:rFonts w:ascii="Times New Roman" w:eastAsia="宋体" w:hAnsi="Times New Roman" w:cs="Times New Roman"/>
          <w:sz w:val="24"/>
          <w:szCs w:val="28"/>
          <w:lang w:eastAsia="zh-CN"/>
        </w:rPr>
        <w:t>例死亡与疾病进展相关。死亡列表详见</w:t>
      </w:r>
      <w:r w:rsidRPr="00954C2B">
        <w:rPr>
          <w:rFonts w:ascii="Times New Roman" w:eastAsia="宋体" w:hAnsi="Times New Roman" w:cs="Times New Roman"/>
          <w:sz w:val="24"/>
          <w:szCs w:val="28"/>
          <w:lang w:eastAsia="zh-CN"/>
        </w:rPr>
        <w:t>14.3.2</w:t>
      </w:r>
      <w:r w:rsidRPr="00954C2B">
        <w:rPr>
          <w:rFonts w:ascii="Times New Roman" w:eastAsia="宋体" w:hAnsi="Times New Roman" w:cs="Times New Roman"/>
          <w:sz w:val="24"/>
          <w:szCs w:val="28"/>
          <w:lang w:eastAsia="zh-CN"/>
        </w:rPr>
        <w:t>。</w:t>
      </w:r>
    </w:p>
    <w:p w14:paraId="1FE755A2" w14:textId="77777777" w:rsidR="00C44513" w:rsidRPr="00954C2B" w:rsidRDefault="00000000" w:rsidP="00C20250">
      <w:pPr>
        <w:pStyle w:val="4"/>
        <w:jc w:val="both"/>
        <w:rPr>
          <w:rFonts w:ascii="Times New Roman" w:eastAsia="宋体" w:hAnsi="Times New Roman" w:cs="Times New Roman"/>
          <w:i w:val="0"/>
          <w:iCs w:val="0"/>
          <w:lang w:eastAsia="zh-CN"/>
        </w:rPr>
      </w:pPr>
      <w:r w:rsidRPr="00954C2B">
        <w:rPr>
          <w:rFonts w:ascii="Times New Roman" w:eastAsia="宋体" w:hAnsi="Times New Roman" w:cs="Times New Roman"/>
          <w:i w:val="0"/>
          <w:iCs w:val="0"/>
          <w:lang w:eastAsia="zh-CN"/>
        </w:rPr>
        <w:lastRenderedPageBreak/>
        <w:t xml:space="preserve">12.3.1.2 </w:t>
      </w:r>
      <w:r w:rsidRPr="00954C2B">
        <w:rPr>
          <w:rFonts w:ascii="Times New Roman" w:eastAsia="宋体" w:hAnsi="Times New Roman" w:cs="Times New Roman"/>
          <w:i w:val="0"/>
          <w:iCs w:val="0"/>
          <w:lang w:eastAsia="zh-CN"/>
        </w:rPr>
        <w:t>其他严重不良事件</w:t>
      </w:r>
    </w:p>
    <w:p w14:paraId="08CCFB66"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除导致死亡的不良事件外，本研究共有</w:t>
      </w:r>
      <w:r w:rsidRPr="00954C2B">
        <w:rPr>
          <w:rFonts w:ascii="Times New Roman" w:eastAsia="宋体" w:hAnsi="Times New Roman" w:cs="Times New Roman"/>
          <w:sz w:val="22"/>
          <w:szCs w:val="24"/>
          <w:lang w:eastAsia="zh-CN"/>
        </w:rPr>
        <w:t>4</w:t>
      </w:r>
      <w:r w:rsidRPr="00954C2B">
        <w:rPr>
          <w:rFonts w:ascii="Times New Roman" w:eastAsia="宋体" w:hAnsi="Times New Roman" w:cs="Times New Roman"/>
          <w:sz w:val="22"/>
          <w:szCs w:val="24"/>
          <w:lang w:eastAsia="zh-CN"/>
        </w:rPr>
        <w:t>例试验参与者发生</w:t>
      </w:r>
      <w:r w:rsidRPr="00954C2B">
        <w:rPr>
          <w:rFonts w:ascii="Times New Roman" w:eastAsia="宋体" w:hAnsi="Times New Roman" w:cs="Times New Roman"/>
          <w:sz w:val="22"/>
          <w:szCs w:val="24"/>
          <w:lang w:eastAsia="zh-CN"/>
        </w:rPr>
        <w:t>7</w:t>
      </w:r>
      <w:r w:rsidRPr="00954C2B">
        <w:rPr>
          <w:rFonts w:ascii="Times New Roman" w:eastAsia="宋体" w:hAnsi="Times New Roman" w:cs="Times New Roman"/>
          <w:sz w:val="22"/>
          <w:szCs w:val="24"/>
          <w:lang w:eastAsia="zh-CN"/>
        </w:rPr>
        <w:t>例次其他严重不良事件（</w:t>
      </w:r>
      <w:r w:rsidRPr="00954C2B">
        <w:rPr>
          <w:rFonts w:ascii="Times New Roman" w:eastAsia="宋体" w:hAnsi="Times New Roman" w:cs="Times New Roman"/>
          <w:sz w:val="22"/>
          <w:szCs w:val="24"/>
          <w:lang w:eastAsia="zh-CN"/>
        </w:rPr>
        <w:t>SAE</w:t>
      </w:r>
      <w:r w:rsidRPr="00954C2B">
        <w:rPr>
          <w:rFonts w:ascii="Times New Roman" w:eastAsia="宋体" w:hAnsi="Times New Roman" w:cs="Times New Roman"/>
          <w:sz w:val="22"/>
          <w:szCs w:val="24"/>
          <w:lang w:eastAsia="zh-CN"/>
        </w:rPr>
        <w:t>），包括感染性肺炎、药物诱导的肝损伤、发热、贫血、肠梗阻及肺栓塞。其中，感染性肺炎及药物诱导的肝损伤与研究药物相关，并判定为非预期严重不良反应（</w:t>
      </w:r>
      <w:r w:rsidRPr="00954C2B">
        <w:rPr>
          <w:rFonts w:ascii="Times New Roman" w:eastAsia="宋体" w:hAnsi="Times New Roman" w:cs="Times New Roman"/>
          <w:sz w:val="22"/>
          <w:szCs w:val="24"/>
          <w:lang w:eastAsia="zh-CN"/>
        </w:rPr>
        <w:t>SUSAR</w:t>
      </w:r>
      <w:r w:rsidRPr="00954C2B">
        <w:rPr>
          <w:rFonts w:ascii="Times New Roman" w:eastAsia="宋体" w:hAnsi="Times New Roman" w:cs="Times New Roman"/>
          <w:sz w:val="22"/>
          <w:szCs w:val="24"/>
          <w:lang w:eastAsia="zh-CN"/>
        </w:rPr>
        <w:t>）。其他严重不良事件列表详见</w:t>
      </w:r>
      <w:r w:rsidRPr="00954C2B">
        <w:rPr>
          <w:rFonts w:ascii="Times New Roman" w:eastAsia="宋体" w:hAnsi="Times New Roman" w:cs="Times New Roman"/>
          <w:sz w:val="22"/>
          <w:szCs w:val="24"/>
          <w:lang w:eastAsia="zh-CN"/>
        </w:rPr>
        <w:t>14.3.2</w:t>
      </w:r>
      <w:r w:rsidRPr="00954C2B">
        <w:rPr>
          <w:rFonts w:ascii="Times New Roman" w:eastAsia="宋体" w:hAnsi="Times New Roman" w:cs="Times New Roman"/>
          <w:sz w:val="22"/>
          <w:szCs w:val="24"/>
          <w:lang w:eastAsia="zh-CN"/>
        </w:rPr>
        <w:t>。</w:t>
      </w:r>
    </w:p>
    <w:p w14:paraId="3AD53FD6" w14:textId="77777777" w:rsidR="00C44513" w:rsidRPr="00954C2B" w:rsidRDefault="00000000" w:rsidP="00C20250">
      <w:pPr>
        <w:pStyle w:val="4"/>
        <w:jc w:val="both"/>
        <w:rPr>
          <w:rFonts w:ascii="Times New Roman" w:eastAsia="宋体" w:hAnsi="Times New Roman" w:cs="Times New Roman"/>
          <w:i w:val="0"/>
          <w:iCs w:val="0"/>
          <w:lang w:eastAsia="zh-CN"/>
        </w:rPr>
      </w:pPr>
      <w:r w:rsidRPr="00954C2B">
        <w:rPr>
          <w:rFonts w:ascii="Times New Roman" w:eastAsia="宋体" w:hAnsi="Times New Roman" w:cs="Times New Roman"/>
          <w:i w:val="0"/>
          <w:iCs w:val="0"/>
          <w:lang w:eastAsia="zh-CN"/>
        </w:rPr>
        <w:t xml:space="preserve">12.3.1.3 </w:t>
      </w:r>
      <w:r w:rsidRPr="00954C2B">
        <w:rPr>
          <w:rFonts w:ascii="Times New Roman" w:eastAsia="宋体" w:hAnsi="Times New Roman" w:cs="Times New Roman"/>
          <w:i w:val="0"/>
          <w:iCs w:val="0"/>
          <w:lang w:eastAsia="zh-CN"/>
        </w:rPr>
        <w:t>其他重要不良事件</w:t>
      </w:r>
    </w:p>
    <w:p w14:paraId="21FECF08"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除严重不良事件外，本研究其他重要不良事件主要为导致暂停用药的不良事件，包括输液相关反应、丙氨酸氨基转移酶升高、发热及皮疹，其中输液相关反应的发生率为</w:t>
      </w:r>
      <w:r w:rsidRPr="00954C2B">
        <w:rPr>
          <w:rFonts w:ascii="Times New Roman" w:eastAsia="宋体" w:hAnsi="Times New Roman" w:cs="Times New Roman"/>
          <w:sz w:val="22"/>
          <w:szCs w:val="24"/>
          <w:lang w:eastAsia="zh-CN"/>
        </w:rPr>
        <w:t>13.3%</w:t>
      </w:r>
      <w:r w:rsidRPr="00954C2B">
        <w:rPr>
          <w:rFonts w:ascii="Times New Roman" w:eastAsia="宋体" w:hAnsi="Times New Roman" w:cs="Times New Roman"/>
          <w:sz w:val="22"/>
          <w:szCs w:val="24"/>
          <w:lang w:eastAsia="zh-CN"/>
        </w:rPr>
        <w:t>。其他重要不良事件列表详见</w:t>
      </w:r>
      <w:r w:rsidRPr="00954C2B">
        <w:rPr>
          <w:rFonts w:ascii="Times New Roman" w:eastAsia="宋体" w:hAnsi="Times New Roman" w:cs="Times New Roman"/>
          <w:sz w:val="22"/>
          <w:szCs w:val="24"/>
          <w:lang w:eastAsia="zh-CN"/>
        </w:rPr>
        <w:t>14.3.2</w:t>
      </w:r>
      <w:r w:rsidRPr="00954C2B">
        <w:rPr>
          <w:rFonts w:ascii="Times New Roman" w:eastAsia="宋体" w:hAnsi="Times New Roman" w:cs="Times New Roman"/>
          <w:sz w:val="22"/>
          <w:szCs w:val="24"/>
          <w:lang w:eastAsia="zh-CN"/>
        </w:rPr>
        <w:t>。</w:t>
      </w:r>
    </w:p>
    <w:p w14:paraId="47593B06"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12.3.2 </w:t>
      </w:r>
      <w:r w:rsidRPr="002622A7">
        <w:rPr>
          <w:rFonts w:ascii="Times New Roman" w:eastAsia="宋体" w:hAnsi="Times New Roman" w:cs="Times New Roman"/>
          <w:lang w:eastAsia="zh-CN"/>
        </w:rPr>
        <w:t>死亡、其他严重不良事件和某些其他重要不良事件的叙述</w:t>
      </w:r>
    </w:p>
    <w:p w14:paraId="453A3C35"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研究期间发生</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例导致死亡的治疗期间出现的不良事件，为</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级呼吸衰竭。该试验参与者基础疾病进展明显，事件经研究者判断与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无关。其余</w:t>
      </w:r>
      <w:r w:rsidRPr="00954C2B">
        <w:rPr>
          <w:rFonts w:ascii="Times New Roman" w:eastAsia="宋体" w:hAnsi="Times New Roman" w:cs="Times New Roman"/>
          <w:sz w:val="22"/>
          <w:szCs w:val="24"/>
          <w:lang w:eastAsia="zh-CN"/>
        </w:rPr>
        <w:t>4</w:t>
      </w:r>
      <w:r w:rsidRPr="00954C2B">
        <w:rPr>
          <w:rFonts w:ascii="Times New Roman" w:eastAsia="宋体" w:hAnsi="Times New Roman" w:cs="Times New Roman"/>
          <w:sz w:val="22"/>
          <w:szCs w:val="24"/>
          <w:lang w:eastAsia="zh-CN"/>
        </w:rPr>
        <w:t>例死亡均与疾病进展相关，未观察到与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相关的导致死亡不良事件。</w:t>
      </w:r>
    </w:p>
    <w:p w14:paraId="66248DBA"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除导致死亡的不良事件外，本研究发生的其他严重不良事件包括感染性肺炎、药物诱导的肝损伤、发热、贫血、肠梗阻及肺栓塞。其中，感染性肺炎</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例和药物诱导的肝损伤</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相关。上述相关严重不良事件发生后，研究者根据临床情况采取暂停给药、抗感染治疗、保肝治疗、糖皮质激素治疗或其他支持治疗等措施，事件均得到相应处理。</w:t>
      </w:r>
    </w:p>
    <w:p w14:paraId="235DF58F"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其他重要不良事件主要包括导致暂停用药或永久停药的不良事件。导致暂停用药的事件包括输液相关反应、丙氨酸氨基转移酶升高、皮疹及发热，其中输液相关反应、丙氨酸氨基转移酶升高及皮疹经研究者判断与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相关。导致永久停药的事件包括药物诱导的肝损伤及感染性肺炎，均经研究者判断与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相关。个例叙述资料见</w:t>
      </w:r>
      <w:r w:rsidRPr="00954C2B">
        <w:rPr>
          <w:rFonts w:ascii="Times New Roman" w:eastAsia="宋体" w:hAnsi="Times New Roman" w:cs="Times New Roman"/>
          <w:sz w:val="22"/>
          <w:szCs w:val="24"/>
          <w:lang w:eastAsia="zh-CN"/>
        </w:rPr>
        <w:t>14.3.3</w:t>
      </w:r>
      <w:r w:rsidRPr="00954C2B">
        <w:rPr>
          <w:rFonts w:ascii="Times New Roman" w:eastAsia="宋体" w:hAnsi="Times New Roman" w:cs="Times New Roman"/>
          <w:sz w:val="22"/>
          <w:szCs w:val="24"/>
          <w:lang w:eastAsia="zh-CN"/>
        </w:rPr>
        <w:t>。</w:t>
      </w:r>
    </w:p>
    <w:p w14:paraId="66A23262"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12.3.3 </w:t>
      </w:r>
      <w:r w:rsidRPr="002622A7">
        <w:rPr>
          <w:rFonts w:ascii="Times New Roman" w:eastAsia="宋体" w:hAnsi="Times New Roman" w:cs="Times New Roman"/>
          <w:lang w:eastAsia="zh-CN"/>
        </w:rPr>
        <w:t>死亡、其他严重不良事件和其他重要不良事件的分析和讨论</w:t>
      </w:r>
    </w:p>
    <w:p w14:paraId="7773C5B8"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本研究中，死亡事件主要与基础疾病进展或非研究药物相关事件有关，未观察到与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相关的导致死亡不良事件。与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相关的严重不良事件主要为感染性肺炎和药物诱导的肝损伤，均属于需要重点关注的免疫相关或潜在免疫相关安全性事件。</w:t>
      </w:r>
    </w:p>
    <w:p w14:paraId="2F75282B"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根据事件发生时有效版本的安全性参考信息，感染性肺炎和药物诱导的肝损伤均判定为非预期严重不良反应。上述事件提示，在后续临床开发中应重点关注肺部感染、肺部炎症性改变、肝功能异常及其他免疫相关风险事件，并结合临床表现、影像学检查、实验室指标、合并用药、基础疾病及既往治疗情况进行综合判断。</w:t>
      </w:r>
    </w:p>
    <w:p w14:paraId="3C92CB12"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导致暂停用药或永久停药的不良事件多与免疫相关反应、肝功能异常或输液相关反应有关。现有资料未提示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存在影响后续临床开发的不可接受安全性风险，但建议在后续研究中继续加强对严重不良事件、导致停药事件和潜在免疫相关风险事件的监测和管理。</w:t>
      </w:r>
    </w:p>
    <w:p w14:paraId="66853606"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lastRenderedPageBreak/>
        <w:t xml:space="preserve">12.4 </w:t>
      </w:r>
      <w:r w:rsidRPr="002622A7">
        <w:rPr>
          <w:rFonts w:ascii="Times New Roman" w:eastAsia="宋体" w:hAnsi="Times New Roman" w:cs="Times New Roman"/>
          <w:lang w:eastAsia="zh-CN"/>
        </w:rPr>
        <w:t>临床实验室评估</w:t>
      </w:r>
    </w:p>
    <w:p w14:paraId="1F765EC5"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12.4.1 </w:t>
      </w:r>
      <w:r w:rsidRPr="002622A7">
        <w:rPr>
          <w:rFonts w:ascii="Times New Roman" w:eastAsia="宋体" w:hAnsi="Times New Roman" w:cs="Times New Roman"/>
          <w:lang w:eastAsia="zh-CN"/>
        </w:rPr>
        <w:t>各患者的个例实验室测量值列表和各异常实验室值</w:t>
      </w:r>
    </w:p>
    <w:p w14:paraId="1B1E7633"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各试验参与者的个例实验室测量值列表详见附录</w:t>
      </w:r>
      <w:r w:rsidRPr="00954C2B">
        <w:rPr>
          <w:rFonts w:ascii="Times New Roman" w:eastAsia="宋体" w:hAnsi="Times New Roman" w:cs="Times New Roman"/>
          <w:sz w:val="22"/>
          <w:szCs w:val="24"/>
          <w:lang w:eastAsia="zh-CN"/>
        </w:rPr>
        <w:t>16.2.8</w:t>
      </w:r>
      <w:r w:rsidRPr="00954C2B">
        <w:rPr>
          <w:rFonts w:ascii="Times New Roman" w:eastAsia="宋体" w:hAnsi="Times New Roman" w:cs="Times New Roman"/>
          <w:sz w:val="22"/>
          <w:szCs w:val="24"/>
          <w:lang w:eastAsia="zh-CN"/>
        </w:rPr>
        <w:t>，异常实验室数值列表详见</w:t>
      </w:r>
      <w:r w:rsidRPr="00954C2B">
        <w:rPr>
          <w:rFonts w:ascii="Times New Roman" w:eastAsia="宋体" w:hAnsi="Times New Roman" w:cs="Times New Roman"/>
          <w:sz w:val="22"/>
          <w:szCs w:val="24"/>
          <w:lang w:eastAsia="zh-CN"/>
        </w:rPr>
        <w:t>14.3.4</w:t>
      </w:r>
      <w:r w:rsidRPr="00954C2B">
        <w:rPr>
          <w:rFonts w:ascii="Times New Roman" w:eastAsia="宋体" w:hAnsi="Times New Roman" w:cs="Times New Roman"/>
          <w:sz w:val="22"/>
          <w:szCs w:val="24"/>
          <w:lang w:eastAsia="zh-CN"/>
        </w:rPr>
        <w:t>。实验室检查项目包括血液学、血生化、肝功能、肾功能、电解质及尿常规等安全性相关检查。异常实验室值按检查项目、访视时间、异常程度、临床意义及与不良事件的对应关系进行列示。</w:t>
      </w:r>
    </w:p>
    <w:p w14:paraId="7AA932B4"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12.4.2 </w:t>
      </w:r>
      <w:r w:rsidRPr="002622A7">
        <w:rPr>
          <w:rFonts w:ascii="Times New Roman" w:eastAsia="宋体" w:hAnsi="Times New Roman" w:cs="Times New Roman"/>
          <w:lang w:eastAsia="zh-CN"/>
        </w:rPr>
        <w:t>各实验室参数的评价</w:t>
      </w:r>
    </w:p>
    <w:p w14:paraId="480B1BBA"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研究期间观察到的主要实验室异常包括丙氨酸氨基转移酶升高、天门冬氨酸氨基转移酶升高、贫血、中性粒细胞计数降低及白细胞计数降低。多数实验室异常为</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级，经暂停给药、对症处理或支持治疗后可恢复或缓解。</w:t>
      </w:r>
    </w:p>
    <w:p w14:paraId="6D337D9E"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肝功能相关异常为本研究需要重点关注的实验室安全性发现。研究期间共有</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例试验参与者发生</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级丙氨酸氨基转移酶升高，另有</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例发生药物诱导的肝损伤并被报告为严重不良事件。上述事件经研究者判断与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相关，提示后续研究中应继续加强肝功能监测，并结合胆红素、转氨酶变化趋势、合并用药、基础肝病及影像学或其他检查结果进行综合评估。</w:t>
      </w:r>
    </w:p>
    <w:p w14:paraId="6B670870"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血液学异常主要包括贫血、中性粒细胞计数降低及白细胞计数降低。多数血液学异常程度较轻，未提示明确的剂量相关增加趋势。研究期间未观察到具有明确临床意义的肾功能、电解质或尿常规异常聚集性风险信号。</w:t>
      </w:r>
    </w:p>
    <w:p w14:paraId="6ABB9C35"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12.5 </w:t>
      </w:r>
      <w:r w:rsidRPr="002622A7">
        <w:rPr>
          <w:rFonts w:ascii="Times New Roman" w:eastAsia="宋体" w:hAnsi="Times New Roman" w:cs="Times New Roman"/>
          <w:lang w:eastAsia="zh-CN"/>
        </w:rPr>
        <w:t>生命体征、体格检查发现和其他安全性相关观察结果</w:t>
      </w:r>
    </w:p>
    <w:p w14:paraId="3A649045"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未观察到具有明确临床意义的生命体征、体格检查或其他安全性相关观察结果的整体异常趋势。部分试验参与者出现发热、血压波动或心率变化，多发生于感染、输液相关反应、疾病进展或其他不良事件背景下，研究者已根据临床情况进行相应处理。</w:t>
      </w:r>
    </w:p>
    <w:p w14:paraId="3EFF79F0"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未发现生命体征、体格检查或其他安全性观察结果提示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存在新的安全性风险信号。对于被判断为不良事件或与严重不良事件相关的生命体征及体格检查异常，已在相应不良事件章节中进行汇总和分析。</w:t>
      </w:r>
    </w:p>
    <w:p w14:paraId="69F5C1FA"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12.6 </w:t>
      </w:r>
      <w:r w:rsidRPr="002622A7">
        <w:rPr>
          <w:rFonts w:ascii="Times New Roman" w:eastAsia="宋体" w:hAnsi="Times New Roman" w:cs="Times New Roman"/>
          <w:lang w:eastAsia="zh-CN"/>
        </w:rPr>
        <w:t>安全性结论</w:t>
      </w:r>
    </w:p>
    <w:p w14:paraId="141F9334"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本研究共</w:t>
      </w:r>
      <w:r w:rsidRPr="00954C2B">
        <w:rPr>
          <w:rFonts w:ascii="Times New Roman" w:eastAsia="宋体" w:hAnsi="Times New Roman" w:cs="Times New Roman"/>
          <w:sz w:val="22"/>
          <w:szCs w:val="24"/>
          <w:lang w:eastAsia="zh-CN"/>
        </w:rPr>
        <w:t>30</w:t>
      </w:r>
      <w:r w:rsidRPr="00954C2B">
        <w:rPr>
          <w:rFonts w:ascii="Times New Roman" w:eastAsia="宋体" w:hAnsi="Times New Roman" w:cs="Times New Roman"/>
          <w:sz w:val="22"/>
          <w:szCs w:val="24"/>
          <w:lang w:eastAsia="zh-CN"/>
        </w:rPr>
        <w:t>例晚期实体瘤试验参与者接受</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单药治疗，其中</w:t>
      </w:r>
      <w:r w:rsidRPr="00954C2B">
        <w:rPr>
          <w:rFonts w:ascii="Times New Roman" w:eastAsia="宋体" w:hAnsi="Times New Roman" w:cs="Times New Roman"/>
          <w:sz w:val="22"/>
          <w:szCs w:val="24"/>
          <w:lang w:eastAsia="zh-CN"/>
        </w:rPr>
        <w:t>21</w:t>
      </w:r>
      <w:r w:rsidRPr="00954C2B">
        <w:rPr>
          <w:rFonts w:ascii="Times New Roman" w:eastAsia="宋体" w:hAnsi="Times New Roman" w:cs="Times New Roman"/>
          <w:sz w:val="22"/>
          <w:szCs w:val="24"/>
          <w:lang w:eastAsia="zh-CN"/>
        </w:rPr>
        <w:t>例接受推荐剂量</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治疗。剂量探索阶段未观察到剂量限制性毒性（</w:t>
      </w:r>
      <w:r w:rsidRPr="00954C2B">
        <w:rPr>
          <w:rFonts w:ascii="Times New Roman" w:eastAsia="宋体" w:hAnsi="Times New Roman" w:cs="Times New Roman"/>
          <w:sz w:val="22"/>
          <w:szCs w:val="24"/>
          <w:lang w:eastAsia="zh-CN"/>
        </w:rPr>
        <w:t>DLT</w:t>
      </w:r>
      <w:r w:rsidRPr="00954C2B">
        <w:rPr>
          <w:rFonts w:ascii="Times New Roman" w:eastAsia="宋体" w:hAnsi="Times New Roman" w:cs="Times New Roman"/>
          <w:sz w:val="22"/>
          <w:szCs w:val="24"/>
          <w:lang w:eastAsia="zh-CN"/>
        </w:rPr>
        <w:t>），未达到最大耐受剂量（</w:t>
      </w:r>
      <w:r w:rsidRPr="00954C2B">
        <w:rPr>
          <w:rFonts w:ascii="Times New Roman" w:eastAsia="宋体" w:hAnsi="Times New Roman" w:cs="Times New Roman"/>
          <w:sz w:val="22"/>
          <w:szCs w:val="24"/>
          <w:lang w:eastAsia="zh-CN"/>
        </w:rPr>
        <w:t>MTD</w:t>
      </w:r>
      <w:r w:rsidRPr="00954C2B">
        <w:rPr>
          <w:rFonts w:ascii="Times New Roman" w:eastAsia="宋体" w:hAnsi="Times New Roman" w:cs="Times New Roman"/>
          <w:sz w:val="22"/>
          <w:szCs w:val="24"/>
          <w:lang w:eastAsia="zh-CN"/>
        </w:rPr>
        <w:t>）。总体而言，</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在</w:t>
      </w:r>
      <w:r w:rsidRPr="00954C2B">
        <w:rPr>
          <w:rFonts w:ascii="Times New Roman" w:eastAsia="宋体" w:hAnsi="Times New Roman" w:cs="Times New Roman"/>
          <w:sz w:val="22"/>
          <w:szCs w:val="24"/>
          <w:lang w:eastAsia="zh-CN"/>
        </w:rPr>
        <w:t>0.3 mg/kg</w:t>
      </w:r>
      <w:r w:rsidRPr="00954C2B">
        <w:rPr>
          <w:rFonts w:ascii="Times New Roman" w:eastAsia="宋体" w:hAnsi="Times New Roman" w:cs="Times New Roman"/>
          <w:sz w:val="22"/>
          <w:szCs w:val="24"/>
          <w:lang w:eastAsia="zh-CN"/>
        </w:rPr>
        <w:t>至</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剂量范围内耐受性良好。研究期间发生的不良反应多数为</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级，经剂量调整、暂停给药或支持治疗后可恢复。不同剂量组间观察到的不良事件类型总体相似，未观察到随剂量升高而明显增加的毒性趋势。研究期间观察到的不良事件类型与</w:t>
      </w:r>
      <w:r w:rsidRPr="00954C2B">
        <w:rPr>
          <w:rFonts w:ascii="Times New Roman" w:eastAsia="宋体" w:hAnsi="Times New Roman" w:cs="Times New Roman"/>
          <w:sz w:val="22"/>
          <w:szCs w:val="24"/>
          <w:lang w:eastAsia="zh-CN"/>
        </w:rPr>
        <w:t>PD-1/PD-L1</w:t>
      </w:r>
      <w:r w:rsidRPr="00954C2B">
        <w:rPr>
          <w:rFonts w:ascii="Times New Roman" w:eastAsia="宋体" w:hAnsi="Times New Roman" w:cs="Times New Roman"/>
          <w:sz w:val="22"/>
          <w:szCs w:val="24"/>
          <w:lang w:eastAsia="zh-CN"/>
        </w:rPr>
        <w:t>类药物已知安全性特征基本一致。免疫相关不良事件主要涉及皮肤、内分泌、肝功能异常及肺部相关事件，包括皮疹、甲状腺功能减退症、丙氨酸氨基转移酶升高、</w:t>
      </w:r>
      <w:r w:rsidRPr="00954C2B">
        <w:rPr>
          <w:rFonts w:ascii="Times New Roman" w:eastAsia="宋体" w:hAnsi="Times New Roman" w:cs="Times New Roman"/>
          <w:sz w:val="22"/>
          <w:szCs w:val="24"/>
          <w:lang w:eastAsia="zh-CN"/>
        </w:rPr>
        <w:lastRenderedPageBreak/>
        <w:t>感染性肺炎及药物诱导的肝损伤等。研究期间共发生</w:t>
      </w:r>
      <w:r w:rsidRPr="00954C2B">
        <w:rPr>
          <w:rFonts w:ascii="Times New Roman" w:eastAsia="宋体" w:hAnsi="Times New Roman" w:cs="Times New Roman"/>
          <w:sz w:val="22"/>
          <w:szCs w:val="24"/>
          <w:lang w:eastAsia="zh-CN"/>
        </w:rPr>
        <w:t>3</w:t>
      </w:r>
      <w:r w:rsidRPr="00954C2B">
        <w:rPr>
          <w:rFonts w:ascii="Times New Roman" w:eastAsia="宋体" w:hAnsi="Times New Roman" w:cs="Times New Roman"/>
          <w:sz w:val="22"/>
          <w:szCs w:val="24"/>
          <w:lang w:eastAsia="zh-CN"/>
        </w:rPr>
        <w:t>例次与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相关的严重不良事件，包括</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例感染性肺炎及</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例药物诱导的肝损伤。根据事件发生时有效版本的安全性参考信息，上述事件均判定为非预期严重不良反应（</w:t>
      </w:r>
      <w:r w:rsidRPr="00954C2B">
        <w:rPr>
          <w:rFonts w:ascii="Times New Roman" w:eastAsia="宋体" w:hAnsi="Times New Roman" w:cs="Times New Roman"/>
          <w:sz w:val="22"/>
          <w:szCs w:val="24"/>
          <w:lang w:eastAsia="zh-CN"/>
        </w:rPr>
        <w:t>SUSAR</w:t>
      </w:r>
      <w:r w:rsidRPr="00954C2B">
        <w:rPr>
          <w:rFonts w:ascii="Times New Roman" w:eastAsia="宋体" w:hAnsi="Times New Roman" w:cs="Times New Roman"/>
          <w:sz w:val="22"/>
          <w:szCs w:val="24"/>
          <w:lang w:eastAsia="zh-CN"/>
        </w:rPr>
        <w:t>）。相关事件经暂停给药及相应治疗后得到处理。研究期间发生</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例导致死亡的</w:t>
      </w:r>
      <w:r w:rsidRPr="00954C2B">
        <w:rPr>
          <w:rFonts w:ascii="Times New Roman" w:eastAsia="宋体" w:hAnsi="Times New Roman" w:cs="Times New Roman"/>
          <w:sz w:val="22"/>
          <w:szCs w:val="24"/>
          <w:lang w:eastAsia="zh-CN"/>
        </w:rPr>
        <w:t>TEAE</w:t>
      </w:r>
      <w:r w:rsidRPr="00954C2B">
        <w:rPr>
          <w:rFonts w:ascii="Times New Roman" w:eastAsia="宋体" w:hAnsi="Times New Roman" w:cs="Times New Roman"/>
          <w:sz w:val="22"/>
          <w:szCs w:val="24"/>
          <w:lang w:eastAsia="zh-CN"/>
        </w:rPr>
        <w:t>，为</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级呼吸衰竭，与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无关；未观察到与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相关的导致死亡不良事件。</w:t>
      </w:r>
    </w:p>
    <w:p w14:paraId="1A5EDD47"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综上，</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单药治疗晚期实体瘤试验参与者总体安全性可接受，未发现影响后续临床开发的不可接受安全性风险。</w:t>
      </w:r>
    </w:p>
    <w:p w14:paraId="445BA6CA"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13. </w:t>
      </w:r>
      <w:r w:rsidRPr="00954C2B">
        <w:rPr>
          <w:rFonts w:ascii="Times New Roman" w:eastAsia="宋体" w:hAnsi="Times New Roman" w:cs="Times New Roman"/>
          <w:sz w:val="28"/>
          <w:szCs w:val="24"/>
          <w:lang w:eastAsia="zh-CN"/>
        </w:rPr>
        <w:t>讨论和总体结论</w:t>
      </w:r>
    </w:p>
    <w:p w14:paraId="0B1A5D7E"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单药治疗晚期实体瘤试验参与者的</w:t>
      </w:r>
      <w:r w:rsidRPr="00954C2B">
        <w:rPr>
          <w:rFonts w:ascii="Times New Roman" w:eastAsia="宋体" w:hAnsi="Times New Roman" w:cs="Times New Roman"/>
          <w:sz w:val="22"/>
          <w:szCs w:val="24"/>
          <w:lang w:eastAsia="zh-CN"/>
        </w:rPr>
        <w:t>I</w:t>
      </w:r>
      <w:r w:rsidRPr="00954C2B">
        <w:rPr>
          <w:rFonts w:ascii="Times New Roman" w:eastAsia="宋体" w:hAnsi="Times New Roman" w:cs="Times New Roman"/>
          <w:sz w:val="22"/>
          <w:szCs w:val="24"/>
          <w:lang w:eastAsia="zh-CN"/>
        </w:rPr>
        <w:t>期剂量探索及剂量扩展研究。研究结果显示，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在</w:t>
      </w:r>
      <w:r w:rsidRPr="00954C2B">
        <w:rPr>
          <w:rFonts w:ascii="Times New Roman" w:eastAsia="宋体" w:hAnsi="Times New Roman" w:cs="Times New Roman"/>
          <w:sz w:val="22"/>
          <w:szCs w:val="24"/>
          <w:lang w:eastAsia="zh-CN"/>
        </w:rPr>
        <w:t>0.3 mg/kg</w:t>
      </w:r>
      <w:r w:rsidRPr="00954C2B">
        <w:rPr>
          <w:rFonts w:ascii="Times New Roman" w:eastAsia="宋体" w:hAnsi="Times New Roman" w:cs="Times New Roman"/>
          <w:sz w:val="22"/>
          <w:szCs w:val="24"/>
          <w:lang w:eastAsia="zh-CN"/>
        </w:rPr>
        <w:t>至</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剂量范围内总体耐受性良好，剂量探索阶段未观察到剂量限制性毒性，未达到最大耐受剂量。结合安全性、耐受性及早期临床资料，</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被确定为后续推荐给药方案。</w:t>
      </w:r>
    </w:p>
    <w:p w14:paraId="0D81508A"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本研究观察到的常见不良反应主要包括乏力、恶心、皮疹、输液相关反应、丙氨酸氨基转移酶升高、甲状腺功能减退症及腹泻，多数为</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w:t>
      </w:r>
      <w:r w:rsidRPr="00954C2B">
        <w:rPr>
          <w:rFonts w:ascii="Times New Roman" w:eastAsia="宋体" w:hAnsi="Times New Roman" w:cs="Times New Roman"/>
          <w:sz w:val="22"/>
          <w:szCs w:val="24"/>
          <w:lang w:eastAsia="zh-CN"/>
        </w:rPr>
        <w:t>2</w:t>
      </w:r>
      <w:r w:rsidRPr="00954C2B">
        <w:rPr>
          <w:rFonts w:ascii="Times New Roman" w:eastAsia="宋体" w:hAnsi="Times New Roman" w:cs="Times New Roman"/>
          <w:sz w:val="22"/>
          <w:szCs w:val="24"/>
          <w:lang w:eastAsia="zh-CN"/>
        </w:rPr>
        <w:t>级。总体安全性特征与</w:t>
      </w:r>
      <w:r w:rsidRPr="00954C2B">
        <w:rPr>
          <w:rFonts w:ascii="Times New Roman" w:eastAsia="宋体" w:hAnsi="Times New Roman" w:cs="Times New Roman"/>
          <w:sz w:val="22"/>
          <w:szCs w:val="24"/>
          <w:lang w:eastAsia="zh-CN"/>
        </w:rPr>
        <w:t>PD-1/PD-L1</w:t>
      </w:r>
      <w:r w:rsidRPr="00954C2B">
        <w:rPr>
          <w:rFonts w:ascii="Times New Roman" w:eastAsia="宋体" w:hAnsi="Times New Roman" w:cs="Times New Roman"/>
          <w:sz w:val="22"/>
          <w:szCs w:val="24"/>
          <w:lang w:eastAsia="zh-CN"/>
        </w:rPr>
        <w:t>类免疫检查点抑制剂的已知风险谱基本一致，主要涉及皮肤、内分泌、肝功能异常及肺部相关免疫相关事件。不同剂量组间不良事件类型总体相似，未观察到随剂量升高而明显增加的毒性趋势。</w:t>
      </w:r>
    </w:p>
    <w:p w14:paraId="34FB8697"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本研究中需要重点关注的新或非预期安全性发现为与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感染性肺炎和药物诱导的肝损伤严重不良反应。根据事件发生时有效版本的安全性参考信息，上述事件均判定为非预期严重不良反应。相关事件经暂停给药及相应治疗后得到处理。上述结果提示，在后续临床开发中应持续关注肺部感染、肝功能异常及其他免疫相关风险事件，并结合临床表现、影像学检查、实验室指标、合并用药及基础疾病等信息进行综合评估。</w:t>
      </w:r>
    </w:p>
    <w:p w14:paraId="30671B22"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研究期间发生</w:t>
      </w:r>
      <w:r w:rsidRPr="00954C2B">
        <w:rPr>
          <w:rFonts w:ascii="Times New Roman" w:eastAsia="宋体" w:hAnsi="Times New Roman" w:cs="Times New Roman"/>
          <w:sz w:val="22"/>
          <w:szCs w:val="24"/>
          <w:lang w:eastAsia="zh-CN"/>
        </w:rPr>
        <w:t>1</w:t>
      </w:r>
      <w:r w:rsidRPr="00954C2B">
        <w:rPr>
          <w:rFonts w:ascii="Times New Roman" w:eastAsia="宋体" w:hAnsi="Times New Roman" w:cs="Times New Roman"/>
          <w:sz w:val="22"/>
          <w:szCs w:val="24"/>
          <w:lang w:eastAsia="zh-CN"/>
        </w:rPr>
        <w:t>例导致死亡的治疗期间出现的不良事件，为</w:t>
      </w:r>
      <w:r w:rsidRPr="00954C2B">
        <w:rPr>
          <w:rFonts w:ascii="Times New Roman" w:eastAsia="宋体" w:hAnsi="Times New Roman" w:cs="Times New Roman"/>
          <w:sz w:val="22"/>
          <w:szCs w:val="24"/>
          <w:lang w:eastAsia="zh-CN"/>
        </w:rPr>
        <w:t>5</w:t>
      </w:r>
      <w:r w:rsidRPr="00954C2B">
        <w:rPr>
          <w:rFonts w:ascii="Times New Roman" w:eastAsia="宋体" w:hAnsi="Times New Roman" w:cs="Times New Roman"/>
          <w:sz w:val="22"/>
          <w:szCs w:val="24"/>
          <w:lang w:eastAsia="zh-CN"/>
        </w:rPr>
        <w:t>级呼吸衰竭，经研究者判断与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无关；未观察到与</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相关的导致死亡不良事件。现有资料未提示</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存在影响后续临床开发的不可接受安全性风险。</w:t>
      </w:r>
    </w:p>
    <w:p w14:paraId="7E88BDBE"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有效性方面，本研究在部分晚期实体瘤试验参与者中观察到初步抗肿瘤活性，但由于本研究样本量有限、未设置对照组，且研究主要目的为安全性、耐受性及推荐给药方案探索，疗效结果仍应谨慎解释，并需在后续研究中进一步验证。</w:t>
      </w:r>
    </w:p>
    <w:p w14:paraId="5EE40C6C"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综上，</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单药治疗晚期实体瘤试验参与者总体安全性可接受，并观察到一定初步抗肿瘤活性。基于本研究结果，支持</w:t>
      </w:r>
      <w:r w:rsidRPr="00954C2B">
        <w:rPr>
          <w:rFonts w:ascii="Times New Roman" w:eastAsia="宋体" w:hAnsi="Times New Roman" w:cs="Times New Roman"/>
          <w:sz w:val="22"/>
          <w:szCs w:val="24"/>
          <w:lang w:eastAsia="zh-CN"/>
        </w:rPr>
        <w:t>VT8802</w:t>
      </w:r>
      <w:r w:rsidRPr="00954C2B">
        <w:rPr>
          <w:rFonts w:ascii="Times New Roman" w:eastAsia="宋体" w:hAnsi="Times New Roman" w:cs="Times New Roman"/>
          <w:sz w:val="22"/>
          <w:szCs w:val="24"/>
          <w:lang w:eastAsia="zh-CN"/>
        </w:rPr>
        <w:t>按</w:t>
      </w:r>
      <w:r w:rsidRPr="00954C2B">
        <w:rPr>
          <w:rFonts w:ascii="Times New Roman" w:eastAsia="宋体" w:hAnsi="Times New Roman" w:cs="Times New Roman"/>
          <w:sz w:val="22"/>
          <w:szCs w:val="24"/>
          <w:lang w:eastAsia="zh-CN"/>
        </w:rPr>
        <w:t>3 mg/kg Q3W</w:t>
      </w:r>
      <w:r w:rsidRPr="00954C2B">
        <w:rPr>
          <w:rFonts w:ascii="Times New Roman" w:eastAsia="宋体" w:hAnsi="Times New Roman" w:cs="Times New Roman"/>
          <w:sz w:val="22"/>
          <w:szCs w:val="24"/>
          <w:lang w:eastAsia="zh-CN"/>
        </w:rPr>
        <w:t>方案继续开展后续临床研究。后续研究中应重点监测感染性肺炎、药物诱导的肝损伤、肝功能相关实验室指标异常、腹泻、皮疹、甲状腺功能异常及其他免疫相关风险事件，并根据累计安全性资料及时评估是否需要更新安全性参考信息及风险控制措施。</w:t>
      </w:r>
    </w:p>
    <w:p w14:paraId="6DBD6260"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lastRenderedPageBreak/>
        <w:t xml:space="preserve">14. </w:t>
      </w:r>
      <w:r w:rsidRPr="00954C2B">
        <w:rPr>
          <w:rFonts w:ascii="Times New Roman" w:eastAsia="宋体" w:hAnsi="Times New Roman" w:cs="Times New Roman"/>
          <w:sz w:val="28"/>
          <w:szCs w:val="24"/>
          <w:lang w:eastAsia="zh-CN"/>
        </w:rPr>
        <w:t>参考但不纳入文本的表格、图示和图表</w:t>
      </w:r>
    </w:p>
    <w:p w14:paraId="1573E03C"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14.3 </w:t>
      </w:r>
      <w:r w:rsidRPr="002622A7">
        <w:rPr>
          <w:rFonts w:ascii="Times New Roman" w:eastAsia="宋体" w:hAnsi="Times New Roman" w:cs="Times New Roman"/>
          <w:lang w:eastAsia="zh-CN"/>
        </w:rPr>
        <w:t>安全性数据</w:t>
      </w:r>
    </w:p>
    <w:p w14:paraId="196E0BE1"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14.3.1 </w:t>
      </w:r>
      <w:r w:rsidRPr="002622A7">
        <w:rPr>
          <w:rFonts w:ascii="Times New Roman" w:eastAsia="宋体" w:hAnsi="Times New Roman" w:cs="Times New Roman"/>
          <w:lang w:eastAsia="zh-CN"/>
        </w:rPr>
        <w:t>不良事件列表</w:t>
      </w:r>
    </w:p>
    <w:p w14:paraId="2DCA856A"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本节为不良事件支持性列表，列示治疗期间出现的不良事件，内容包括系统器官分类、首选术语、发生例数和发生率、严重程度、严重性、与研究药物相关性、采取措施及结局等。相关正文总结和分析见</w:t>
      </w:r>
      <w:r w:rsidRPr="00954C2B">
        <w:rPr>
          <w:rFonts w:ascii="Times New Roman" w:eastAsia="宋体" w:hAnsi="Times New Roman" w:cs="Times New Roman"/>
          <w:sz w:val="22"/>
          <w:szCs w:val="24"/>
          <w:lang w:eastAsia="zh-CN"/>
        </w:rPr>
        <w:t>12.2</w:t>
      </w:r>
      <w:r w:rsidRPr="00954C2B">
        <w:rPr>
          <w:rFonts w:ascii="Times New Roman" w:eastAsia="宋体" w:hAnsi="Times New Roman" w:cs="Times New Roman"/>
          <w:sz w:val="22"/>
          <w:szCs w:val="24"/>
          <w:lang w:eastAsia="zh-CN"/>
        </w:rPr>
        <w:t>节。</w:t>
      </w:r>
    </w:p>
    <w:p w14:paraId="4D6D02B5"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14.3.2 </w:t>
      </w:r>
      <w:r w:rsidRPr="002622A7">
        <w:rPr>
          <w:rFonts w:ascii="Times New Roman" w:eastAsia="宋体" w:hAnsi="Times New Roman" w:cs="Times New Roman"/>
          <w:lang w:eastAsia="zh-CN"/>
        </w:rPr>
        <w:t>死亡、其他严重和重要不良事件的列表</w:t>
      </w:r>
    </w:p>
    <w:p w14:paraId="6A0DB35E"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本节为死亡、严重不良事件和其他重要不良事件支持性列表，列示研究期间所有死亡事件、严重不良事件、导致暂停用药、永久停药、退出研究或需要重要医学干预的不良事件。相关正文总结和分析见</w:t>
      </w:r>
      <w:r w:rsidRPr="00954C2B">
        <w:rPr>
          <w:rFonts w:ascii="Times New Roman" w:eastAsia="宋体" w:hAnsi="Times New Roman" w:cs="Times New Roman"/>
          <w:sz w:val="22"/>
          <w:szCs w:val="24"/>
          <w:lang w:eastAsia="zh-CN"/>
        </w:rPr>
        <w:t>12.3</w:t>
      </w:r>
      <w:r w:rsidRPr="00954C2B">
        <w:rPr>
          <w:rFonts w:ascii="Times New Roman" w:eastAsia="宋体" w:hAnsi="Times New Roman" w:cs="Times New Roman"/>
          <w:sz w:val="22"/>
          <w:szCs w:val="24"/>
          <w:lang w:eastAsia="zh-CN"/>
        </w:rPr>
        <w:t>节。</w:t>
      </w:r>
    </w:p>
    <w:p w14:paraId="2AA70048"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14.3.3 </w:t>
      </w:r>
      <w:r w:rsidRPr="002622A7">
        <w:rPr>
          <w:rFonts w:ascii="Times New Roman" w:eastAsia="宋体" w:hAnsi="Times New Roman" w:cs="Times New Roman"/>
          <w:lang w:eastAsia="zh-CN"/>
        </w:rPr>
        <w:t>死亡、其他严重和某些其他重要不良事件的叙述</w:t>
      </w:r>
    </w:p>
    <w:p w14:paraId="63C2898B"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本节为死亡、严重不良事件和某些其他重要不良事件的个例叙述资料，支持正文</w:t>
      </w:r>
      <w:r w:rsidRPr="00954C2B">
        <w:rPr>
          <w:rFonts w:ascii="Times New Roman" w:eastAsia="宋体" w:hAnsi="Times New Roman" w:cs="Times New Roman"/>
          <w:sz w:val="22"/>
          <w:szCs w:val="24"/>
          <w:lang w:eastAsia="zh-CN"/>
        </w:rPr>
        <w:t>12.3.2</w:t>
      </w:r>
      <w:r w:rsidRPr="00954C2B">
        <w:rPr>
          <w:rFonts w:ascii="Times New Roman" w:eastAsia="宋体" w:hAnsi="Times New Roman" w:cs="Times New Roman"/>
          <w:sz w:val="22"/>
          <w:szCs w:val="24"/>
          <w:lang w:eastAsia="zh-CN"/>
        </w:rPr>
        <w:t>节的描述。个例叙述内容包括事件性质、严重程度、发生时间、与研究药物给药的时间关系、相关实验室或影像学检查、采取措施、结局以及研究者对因果关系的判断。</w:t>
      </w:r>
    </w:p>
    <w:p w14:paraId="39238CF6" w14:textId="77777777" w:rsidR="00C44513" w:rsidRPr="002622A7" w:rsidRDefault="00000000" w:rsidP="00C20250">
      <w:pPr>
        <w:pStyle w:val="3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14.3.4 </w:t>
      </w:r>
      <w:r w:rsidRPr="002622A7">
        <w:rPr>
          <w:rFonts w:ascii="Times New Roman" w:eastAsia="宋体" w:hAnsi="Times New Roman" w:cs="Times New Roman"/>
          <w:lang w:eastAsia="zh-CN"/>
        </w:rPr>
        <w:t>异常实验室数值列表</w:t>
      </w:r>
    </w:p>
    <w:p w14:paraId="23E38FB0" w14:textId="77777777" w:rsidR="00C44513" w:rsidRPr="00954C2B" w:rsidRDefault="00000000" w:rsidP="00C20250">
      <w:pPr>
        <w:spacing w:line="348" w:lineRule="auto"/>
        <w:ind w:firstLine="420"/>
        <w:jc w:val="both"/>
        <w:rPr>
          <w:rFonts w:ascii="Times New Roman" w:eastAsia="宋体" w:hAnsi="Times New Roman" w:cs="Times New Roman"/>
          <w:sz w:val="22"/>
          <w:szCs w:val="24"/>
          <w:lang w:eastAsia="zh-CN"/>
        </w:rPr>
      </w:pPr>
      <w:r w:rsidRPr="00954C2B">
        <w:rPr>
          <w:rFonts w:ascii="Times New Roman" w:eastAsia="宋体" w:hAnsi="Times New Roman" w:cs="Times New Roman"/>
          <w:sz w:val="22"/>
          <w:szCs w:val="24"/>
          <w:lang w:eastAsia="zh-CN"/>
        </w:rPr>
        <w:t>本节为各试验参与者异常实验室数值支持性列表，列示血液学、血生化、肝功能、肾功能、电解质及尿常规等检查中具有临床意义或达到预设异常标准的结果。相关正文总结和分析见</w:t>
      </w:r>
      <w:r w:rsidRPr="00954C2B">
        <w:rPr>
          <w:rFonts w:ascii="Times New Roman" w:eastAsia="宋体" w:hAnsi="Times New Roman" w:cs="Times New Roman"/>
          <w:sz w:val="22"/>
          <w:szCs w:val="24"/>
          <w:lang w:eastAsia="zh-CN"/>
        </w:rPr>
        <w:t>12.4</w:t>
      </w:r>
      <w:r w:rsidRPr="00954C2B">
        <w:rPr>
          <w:rFonts w:ascii="Times New Roman" w:eastAsia="宋体" w:hAnsi="Times New Roman" w:cs="Times New Roman"/>
          <w:sz w:val="22"/>
          <w:szCs w:val="24"/>
          <w:lang w:eastAsia="zh-CN"/>
        </w:rPr>
        <w:t>节。</w:t>
      </w:r>
    </w:p>
    <w:p w14:paraId="6C0C1000" w14:textId="77777777" w:rsidR="00C44513" w:rsidRPr="00954C2B" w:rsidRDefault="00000000" w:rsidP="00C20250">
      <w:pPr>
        <w:pStyle w:val="1"/>
        <w:keepNext w:val="0"/>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15. </w:t>
      </w:r>
      <w:r w:rsidRPr="00954C2B">
        <w:rPr>
          <w:rFonts w:ascii="Times New Roman" w:eastAsia="宋体" w:hAnsi="Times New Roman" w:cs="Times New Roman"/>
          <w:sz w:val="28"/>
          <w:szCs w:val="24"/>
          <w:lang w:eastAsia="zh-CN"/>
        </w:rPr>
        <w:t>参考文献列表</w:t>
      </w:r>
    </w:p>
    <w:p w14:paraId="25CED1A1" w14:textId="77777777" w:rsidR="00C44513" w:rsidRPr="00954C2B" w:rsidRDefault="00000000" w:rsidP="00C20250">
      <w:pPr>
        <w:pStyle w:val="1"/>
        <w:jc w:val="both"/>
        <w:rPr>
          <w:rFonts w:ascii="Times New Roman" w:eastAsia="宋体" w:hAnsi="Times New Roman" w:cs="Times New Roman"/>
          <w:sz w:val="28"/>
          <w:szCs w:val="24"/>
          <w:lang w:eastAsia="zh-CN"/>
        </w:rPr>
      </w:pPr>
      <w:r w:rsidRPr="00954C2B">
        <w:rPr>
          <w:rFonts w:ascii="Times New Roman" w:eastAsia="宋体" w:hAnsi="Times New Roman" w:cs="Times New Roman"/>
          <w:sz w:val="28"/>
          <w:szCs w:val="24"/>
          <w:lang w:eastAsia="zh-CN"/>
        </w:rPr>
        <w:t xml:space="preserve">16. </w:t>
      </w:r>
      <w:r w:rsidRPr="00954C2B">
        <w:rPr>
          <w:rFonts w:ascii="Times New Roman" w:eastAsia="宋体" w:hAnsi="Times New Roman" w:cs="Times New Roman"/>
          <w:sz w:val="28"/>
          <w:szCs w:val="24"/>
          <w:lang w:eastAsia="zh-CN"/>
        </w:rPr>
        <w:t>附录</w:t>
      </w:r>
    </w:p>
    <w:p w14:paraId="0A4CCA42" w14:textId="77777777" w:rsidR="00C44513" w:rsidRPr="002622A7" w:rsidRDefault="00000000" w:rsidP="00C20250">
      <w:pPr>
        <w:pStyle w:val="21"/>
        <w:jc w:val="both"/>
        <w:rPr>
          <w:rFonts w:ascii="Times New Roman" w:eastAsia="宋体" w:hAnsi="Times New Roman" w:cs="Times New Roman"/>
          <w:lang w:eastAsia="zh-CN"/>
        </w:rPr>
      </w:pPr>
      <w:r w:rsidRPr="002622A7">
        <w:rPr>
          <w:rFonts w:ascii="Times New Roman" w:eastAsia="宋体" w:hAnsi="Times New Roman" w:cs="Times New Roman"/>
          <w:lang w:eastAsia="zh-CN"/>
        </w:rPr>
        <w:t xml:space="preserve">16.2. </w:t>
      </w:r>
      <w:r w:rsidRPr="002622A7">
        <w:rPr>
          <w:rFonts w:ascii="Times New Roman" w:eastAsia="宋体" w:hAnsi="Times New Roman" w:cs="Times New Roman"/>
          <w:lang w:eastAsia="zh-CN"/>
        </w:rPr>
        <w:t>患者数据列表</w:t>
      </w:r>
    </w:p>
    <w:p w14:paraId="3EF8055E" w14:textId="77777777" w:rsidR="00C44513" w:rsidRPr="002622A7" w:rsidRDefault="00000000" w:rsidP="00C20250">
      <w:pPr>
        <w:pStyle w:val="31"/>
        <w:jc w:val="both"/>
        <w:rPr>
          <w:rFonts w:ascii="Times New Roman" w:eastAsia="宋体" w:hAnsi="Times New Roman" w:cs="Times New Roman"/>
        </w:rPr>
      </w:pPr>
      <w:r w:rsidRPr="002622A7">
        <w:rPr>
          <w:rFonts w:ascii="Times New Roman" w:eastAsia="宋体" w:hAnsi="Times New Roman" w:cs="Times New Roman"/>
        </w:rPr>
        <w:t xml:space="preserve">16.2.7 </w:t>
      </w:r>
      <w:r w:rsidRPr="002622A7">
        <w:rPr>
          <w:rFonts w:ascii="Times New Roman" w:eastAsia="宋体" w:hAnsi="Times New Roman" w:cs="Times New Roman"/>
        </w:rPr>
        <w:t>不良事件列表</w:t>
      </w:r>
    </w:p>
    <w:sectPr w:rsidR="00C44513" w:rsidRPr="002622A7" w:rsidSect="00034616">
      <w:headerReference w:type="default" r:id="rId8"/>
      <w:footerReference w:type="default" r:id="rId9"/>
      <w:pgSz w:w="11906" w:h="16838"/>
      <w:pgMar w:top="1304" w:right="1247" w:bottom="1247" w:left="141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8366" w14:textId="77777777" w:rsidR="00E05EF8" w:rsidRDefault="00E05EF8">
      <w:pPr>
        <w:spacing w:after="0" w:line="240" w:lineRule="auto"/>
      </w:pPr>
      <w:r>
        <w:separator/>
      </w:r>
    </w:p>
  </w:endnote>
  <w:endnote w:type="continuationSeparator" w:id="0">
    <w:p w14:paraId="65166659" w14:textId="77777777" w:rsidR="00E05EF8" w:rsidRDefault="00E05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C55E" w14:textId="77777777" w:rsidR="00C44513" w:rsidRDefault="00000000">
    <w:pPr>
      <w:pStyle w:val="a8"/>
      <w:jc w:val="right"/>
    </w:pPr>
    <w:r>
      <w:rPr>
        <w:sz w:val="18"/>
      </w:rPr>
      <w:t>第</w:t>
    </w:r>
    <w:r>
      <w:rPr>
        <w:sz w:val="18"/>
      </w:rPr>
      <w:t xml:space="preserve"> </w:t>
    </w:r>
    <w:r>
      <w:fldChar w:fldCharType="begin"/>
    </w:r>
    <w:r>
      <w:instrText>PAGE</w:instrText>
    </w:r>
    <w:r>
      <w:fldChar w:fldCharType="separate"/>
    </w:r>
    <w:r w:rsidR="00C45728">
      <w:rPr>
        <w:noProof/>
      </w:rPr>
      <w:t>2</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C45728">
      <w:rPr>
        <w:noProof/>
      </w:rPr>
      <w:t>3</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FB257" w14:textId="77777777" w:rsidR="00E05EF8" w:rsidRDefault="00E05EF8">
      <w:pPr>
        <w:spacing w:after="0" w:line="240" w:lineRule="auto"/>
      </w:pPr>
      <w:r>
        <w:separator/>
      </w:r>
    </w:p>
  </w:footnote>
  <w:footnote w:type="continuationSeparator" w:id="0">
    <w:p w14:paraId="2576D032" w14:textId="77777777" w:rsidR="00E05EF8" w:rsidRDefault="00E05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5258" w14:textId="77777777" w:rsidR="00C44513" w:rsidRDefault="00000000">
    <w:pPr>
      <w:pStyle w:val="a6"/>
      <w:jc w:val="right"/>
    </w:pPr>
    <w:r>
      <w:rPr>
        <w:sz w:val="18"/>
      </w:rPr>
      <w:t>VT</w:t>
    </w:r>
    <w:proofErr w:type="gramStart"/>
    <w:r>
      <w:rPr>
        <w:sz w:val="18"/>
      </w:rPr>
      <w:t>8802  |</w:t>
    </w:r>
    <w:proofErr w:type="gramEnd"/>
    <w:r>
      <w:rPr>
        <w:sz w:val="18"/>
      </w:rPr>
      <w:t xml:space="preserve">  OOJ-VT8802-</w:t>
    </w:r>
    <w:proofErr w:type="gramStart"/>
    <w:r>
      <w:rPr>
        <w:sz w:val="18"/>
      </w:rPr>
      <w:t>01  |</w:t>
    </w:r>
    <w:proofErr w:type="gramEnd"/>
    <w:r>
      <w:rPr>
        <w:sz w:val="18"/>
      </w:rPr>
      <w:t xml:space="preserve">  </w:t>
    </w:r>
    <w:proofErr w:type="spellStart"/>
    <w:r>
      <w:rPr>
        <w:sz w:val="18"/>
      </w:rPr>
      <w:t>临床研究报告</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2478882">
    <w:abstractNumId w:val="8"/>
  </w:num>
  <w:num w:numId="2" w16cid:durableId="1994135612">
    <w:abstractNumId w:val="6"/>
  </w:num>
  <w:num w:numId="3" w16cid:durableId="2119139110">
    <w:abstractNumId w:val="5"/>
  </w:num>
  <w:num w:numId="4" w16cid:durableId="763376208">
    <w:abstractNumId w:val="4"/>
  </w:num>
  <w:num w:numId="5" w16cid:durableId="1638871604">
    <w:abstractNumId w:val="7"/>
  </w:num>
  <w:num w:numId="6" w16cid:durableId="1594391674">
    <w:abstractNumId w:val="3"/>
  </w:num>
  <w:num w:numId="7" w16cid:durableId="1494373822">
    <w:abstractNumId w:val="2"/>
  </w:num>
  <w:num w:numId="8" w16cid:durableId="2125228527">
    <w:abstractNumId w:val="1"/>
  </w:num>
  <w:num w:numId="9" w16cid:durableId="17265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250"/>
    <w:rsid w:val="0015074B"/>
    <w:rsid w:val="002622A7"/>
    <w:rsid w:val="0029639D"/>
    <w:rsid w:val="00326F90"/>
    <w:rsid w:val="00685400"/>
    <w:rsid w:val="008737DB"/>
    <w:rsid w:val="00954C2B"/>
    <w:rsid w:val="00AA1D8D"/>
    <w:rsid w:val="00AE571B"/>
    <w:rsid w:val="00B47730"/>
    <w:rsid w:val="00C20250"/>
    <w:rsid w:val="00C44513"/>
    <w:rsid w:val="00C45728"/>
    <w:rsid w:val="00CB0664"/>
    <w:rsid w:val="00E05EF8"/>
    <w:rsid w:val="00EC475F"/>
    <w:rsid w:val="00F0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18AA9A"/>
  <w14:defaultImageDpi w14:val="300"/>
  <w15:docId w15:val="{0C6FC434-0EA5-41BF-B72B-83A331FD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Arial" w:eastAsia="Noto Serif CJK SC"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rsid w:val="00E618BF"/>
  </w:style>
  <w:style w:type="character" w:customStyle="1" w:styleId="a7">
    <w:name w:val="页脚 字符"/>
    <w:basedOn w:val="a2"/>
    <w:link w:val="a8"/>
    <w:uiPriority w:val="99"/>
    <w:rsid w:val="00E618BF"/>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rsid w:val="00AA1D8D"/>
  </w:style>
  <w:style w:type="character" w:customStyle="1" w:styleId="23">
    <w:name w:val="正文文本 2 字符"/>
    <w:basedOn w:val="a2"/>
    <w:link w:val="24"/>
    <w:uiPriority w:val="99"/>
    <w:rsid w:val="00AA1D8D"/>
  </w:style>
  <w:style w:type="character" w:customStyle="1" w:styleId="33">
    <w:name w:val="正文文本 3 字符"/>
    <w:basedOn w:val="a2"/>
    <w:link w:val="34"/>
    <w:uiPriority w:val="99"/>
    <w:rsid w:val="00AA1D8D"/>
    <w:rPr>
      <w:sz w:val="16"/>
      <w:szCs w:val="16"/>
    </w:rPr>
  </w:style>
  <w:style w:type="character" w:customStyle="1" w:styleId="af">
    <w:name w:val="宏文本 字符"/>
    <w:basedOn w:val="a2"/>
    <w:link w:val="af0"/>
    <w:uiPriority w:val="99"/>
    <w:rsid w:val="0029639D"/>
    <w:rPr>
      <w:rFonts w:ascii="Courier" w:hAnsi="Courier"/>
      <w:sz w:val="20"/>
      <w:szCs w:val="20"/>
    </w:rPr>
  </w:style>
  <w:style w:type="character" w:customStyle="1" w:styleId="af1">
    <w:name w:val="引用 字符"/>
    <w:basedOn w:val="a2"/>
    <w:link w:val="af2"/>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table" w:styleId="afc">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4">
    <w:name w:val="No Spacing"/>
    <w:uiPriority w:val="1"/>
    <w:qFormat/>
    <w:rsid w:val="00FC693F"/>
    <w:pPr>
      <w:spacing w:after="0" w:line="240" w:lineRule="auto"/>
    </w:pPr>
  </w:style>
  <w:style w:type="paragraph" w:styleId="aa">
    <w:name w:val="Title"/>
    <w:basedOn w:val="a1"/>
    <w:next w:val="a1"/>
    <w:link w:val="a9"/>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paragraph" w:styleId="ac">
    <w:name w:val="Subtitle"/>
    <w:basedOn w:val="a1"/>
    <w:next w:val="a1"/>
    <w:link w:val="ab"/>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paragraph" w:styleId="aff5">
    <w:name w:val="List Paragraph"/>
    <w:basedOn w:val="a1"/>
    <w:uiPriority w:val="34"/>
    <w:qFormat/>
    <w:rsid w:val="00FC693F"/>
    <w:pPr>
      <w:ind w:left="720"/>
      <w:contextualSpacing/>
    </w:pPr>
  </w:style>
  <w:style w:type="paragraph" w:styleId="ae">
    <w:name w:val="Body Text"/>
    <w:basedOn w:val="a1"/>
    <w:link w:val="ad"/>
    <w:uiPriority w:val="99"/>
    <w:unhideWhenUsed/>
    <w:rsid w:val="00AA1D8D"/>
  </w:style>
  <w:style w:type="paragraph" w:styleId="24">
    <w:name w:val="Body Text 2"/>
    <w:basedOn w:val="a1"/>
    <w:link w:val="23"/>
    <w:uiPriority w:val="99"/>
    <w:unhideWhenUsed/>
    <w:rsid w:val="00AA1D8D"/>
    <w:pPr>
      <w:spacing w:line="480" w:lineRule="auto"/>
    </w:pPr>
  </w:style>
  <w:style w:type="paragraph" w:styleId="34">
    <w:name w:val="Body Text 3"/>
    <w:basedOn w:val="a1"/>
    <w:link w:val="33"/>
    <w:uiPriority w:val="99"/>
    <w:unhideWhenUsed/>
    <w:rsid w:val="00AA1D8D"/>
    <w:rPr>
      <w:sz w:val="16"/>
      <w:szCs w:val="16"/>
    </w:rPr>
  </w:style>
  <w:style w:type="paragraph" w:styleId="aff6">
    <w:name w:val="List"/>
    <w:basedOn w:val="a1"/>
    <w:uiPriority w:val="99"/>
    <w:unhideWhenUsed/>
    <w:rsid w:val="00AA1D8D"/>
    <w:pPr>
      <w:ind w:left="360" w:hanging="360"/>
      <w:contextualSpacing/>
    </w:pPr>
  </w:style>
  <w:style w:type="paragraph" w:styleId="28">
    <w:name w:val="List 2"/>
    <w:basedOn w:val="a1"/>
    <w:uiPriority w:val="99"/>
    <w:unhideWhenUsed/>
    <w:rsid w:val="00326F90"/>
    <w:pPr>
      <w:ind w:left="720" w:hanging="360"/>
      <w:contextualSpacing/>
    </w:pPr>
  </w:style>
  <w:style w:type="paragraph" w:styleId="36">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f7">
    <w:name w:val="List Continue"/>
    <w:basedOn w:val="a1"/>
    <w:uiPriority w:val="99"/>
    <w:unhideWhenUsed/>
    <w:rsid w:val="0029639D"/>
    <w:pPr>
      <w:ind w:left="360"/>
      <w:contextualSpacing/>
    </w:pPr>
  </w:style>
  <w:style w:type="paragraph" w:styleId="29">
    <w:name w:val="List Continue 2"/>
    <w:basedOn w:val="a1"/>
    <w:uiPriority w:val="99"/>
    <w:unhideWhenUsed/>
    <w:rsid w:val="0029639D"/>
    <w:pPr>
      <w:ind w:left="720"/>
      <w:contextualSpacing/>
    </w:pPr>
  </w:style>
  <w:style w:type="paragraph" w:styleId="37">
    <w:name w:val="List Continue 3"/>
    <w:basedOn w:val="a1"/>
    <w:uiPriority w:val="99"/>
    <w:unhideWhenUsed/>
    <w:rsid w:val="0029639D"/>
    <w:pPr>
      <w:ind w:left="1080"/>
      <w:contextualSpacing/>
    </w:pPr>
  </w:style>
  <w:style w:type="paragraph" w:styleId="af0">
    <w:name w:val="macro"/>
    <w:link w:val="af"/>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f8">
    <w:name w:val="caption"/>
    <w:basedOn w:val="a1"/>
    <w:next w:val="a1"/>
    <w:uiPriority w:val="35"/>
    <w:semiHidden/>
    <w:unhideWhenUsed/>
    <w:qFormat/>
    <w:rsid w:val="00FC693F"/>
    <w:pPr>
      <w:spacing w:line="240" w:lineRule="auto"/>
    </w:pPr>
    <w:rPr>
      <w:rFonts w:eastAsia="Noto Sans CJK SC"/>
      <w:bCs/>
      <w:color w:val="4F81BD" w:themeColor="accent1"/>
      <w:sz w:val="19"/>
      <w:szCs w:val="18"/>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OC">
    <w:name w:val="TOC Heading"/>
    <w:basedOn w:val="a1"/>
    <w:next w:val="a1"/>
    <w:uiPriority w:val="39"/>
    <w:semiHidden/>
    <w:unhideWhenUsed/>
    <w:qFormat/>
    <w:rsid w:val="00FC693F"/>
    <w:pPr>
      <w:spacing w:after="40"/>
    </w:pPr>
    <w:rPr>
      <w:rFonts w:eastAsia="Noto Sans CJK SC"/>
      <w:b/>
      <w:color w:val="000000"/>
      <w:sz w:val="32"/>
    </w:rPr>
  </w:style>
  <w:style w:type="paragraph" w:customStyle="1" w:styleId="TOC11">
    <w:name w:val="TOC 11"/>
    <w:pPr>
      <w:spacing w:after="40"/>
    </w:pPr>
    <w:rPr>
      <w:rFonts w:ascii="Arial" w:eastAsia="Noto Serif CJK SC" w:hAnsi="Arial"/>
    </w:rPr>
  </w:style>
  <w:style w:type="paragraph" w:customStyle="1" w:styleId="TOC21">
    <w:name w:val="TOC 21"/>
    <w:pPr>
      <w:spacing w:after="40"/>
      <w:ind w:left="420"/>
    </w:pPr>
    <w:rPr>
      <w:rFonts w:ascii="Arial" w:eastAsia="Noto Serif CJK SC" w:hAnsi="Arial"/>
      <w:sz w:val="21"/>
    </w:rPr>
  </w:style>
  <w:style w:type="paragraph" w:customStyle="1" w:styleId="TOC31">
    <w:name w:val="TOC 31"/>
    <w:pPr>
      <w:spacing w:after="40"/>
      <w:ind w:left="840"/>
    </w:pPr>
    <w:rPr>
      <w:rFonts w:ascii="Arial" w:eastAsia="Noto Serif CJK SC" w:hAnsi="Arial"/>
      <w:sz w:val="20"/>
    </w:rPr>
  </w:style>
  <w:style w:type="paragraph" w:customStyle="1" w:styleId="TableNote">
    <w:name w:val="Table Note"/>
    <w:pPr>
      <w:spacing w:before="40" w:after="160"/>
    </w:pPr>
    <w:rPr>
      <w:rFonts w:ascii="Arial" w:eastAsia="Noto Serif CJK SC"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3616</Words>
  <Characters>4123</Characters>
  <Application>Microsoft Office Word</Application>
  <DocSecurity>0</DocSecurity>
  <Lines>137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p:lastModifiedBy>
  <cp:revision>7</cp:revision>
  <dcterms:created xsi:type="dcterms:W3CDTF">2013-12-23T23:15:00Z</dcterms:created>
  <dcterms:modified xsi:type="dcterms:W3CDTF">2026-10-13T04:32:00Z</dcterms:modified>
  <cp:category/>
</cp:coreProperties>
</file>