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研究者手册 </w:t>
      </w:r>
    </w:p>
    <w:p>
      <w:pPr>
        <w:pStyle w:val="Heading1"/>
      </w:pPr>
      <w:r>
        <w:t>6    临床安全性</w:t>
      </w:r>
    </w:p>
    <w:p>
      <w:r>
        <w:t xml:space="preserve">本研究   评估试验药物的安全性。  </w:t>
      </w:r>
    </w:p>
    <w:p>
      <w:r>
        <w:t xml:space="preserve">在既往研究中，试验药物耐受性良好。   </w:t>
      </w:r>
    </w:p>
    <w:p>
      <w:r>
        <w:t>共报告不良事件（AE）  15例。</w:t>
      </w:r>
    </w:p>
    <w:p>
      <w:r>
        <w:t xml:space="preserve">未观察到严重不良反应（SAR）。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