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ABB7D09" w14:textId="77777777">
      <w:r>
        <w:rPr>
          <w:rFonts w:ascii="等线" w:hAnsi="等线" w:eastAsia="等线" w:cs="宋体"/>
          <w:kern w:val="2"/>
          <w:sz w:val="22"/>
          <w:szCs w:val="24"/>
        </w:rPr>
        <w:t>研究者手册</w:t>
      </w:r>
    </w:p>
    <w:p w14:paraId="65B8AC97" w14:textId="77777777">
      <w:r>
        <w:rPr>
          <w:rFonts w:ascii="等线" w:hAnsi="等线" w:eastAsia="等线" w:cs="宋体"/>
          <w:kern w:val="2"/>
          <w:sz w:val="22"/>
          <w:szCs w:val="24"/>
        </w:rPr>
        <w:t>通用名称：重组人源化抗PD-L1单克隆抗体</w:t>
      </w:r>
      <w:r>
        <w:br w:type="textWrapping"/>
      </w:r>
      <w:r>
        <w:rPr>
          <w:rFonts w:ascii="等线" w:hAnsi="等线" w:eastAsia="等线" w:cs="宋体"/>
          <w:kern w:val="2"/>
          <w:sz w:val="22"/>
          <w:szCs w:val="24"/>
        </w:rPr>
        <w:t>代号：VT8802</w:t>
      </w:r>
      <w:r>
        <w:br w:type="textWrapping"/>
      </w:r>
      <w:r>
        <w:rPr>
          <w:rFonts w:ascii="等线" w:hAnsi="等线" w:eastAsia="等线" w:cs="宋体"/>
          <w:kern w:val="2"/>
          <w:sz w:val="22"/>
          <w:szCs w:val="24"/>
        </w:rPr>
        <w:t>版本号：1.3</w:t>
      </w:r>
      <w:r>
        <w:br w:type="textWrapping"/>
      </w:r>
      <w:r>
        <w:rPr>
          <w:rFonts w:ascii="等线" w:hAnsi="等线" w:eastAsia="等线" w:cs="宋体"/>
          <w:kern w:val="2"/>
          <w:sz w:val="22"/>
          <w:szCs w:val="24"/>
        </w:rPr>
        <w:t>版本日期：2024.03.15</w:t>
      </w:r>
      <w:r>
        <w:br w:type="textWrapping"/>
      </w:r>
      <w:r>
        <w:rPr>
          <w:rFonts w:ascii="等线" w:hAnsi="等线" w:eastAsia="等线" w:cs="宋体"/>
          <w:kern w:val="2"/>
          <w:sz w:val="22"/>
          <w:szCs w:val="24"/>
        </w:rPr>
        <w:t>适用范围：OOJ-VT8802-02</w:t>
      </w:r>
      <w:r>
        <w:br w:type="textWrapping"/>
      </w:r>
      <w:r>
        <w:rPr>
          <w:rFonts w:ascii="等线" w:hAnsi="等线" w:eastAsia="等线" w:cs="宋体"/>
          <w:kern w:val="2"/>
          <w:sz w:val="22"/>
          <w:szCs w:val="24"/>
        </w:rPr>
        <w:t>申办者：某某生物医药有限公司</w:t>
      </w:r>
    </w:p>
    <w:p w14:paraId="78C21364" w14:textId="77777777">
      <w:pPr>
        <w:pStyle w:val="1"/>
      </w:pPr>
      <w:r>
        <w:rPr>
          <w:rFonts w:ascii="等线 Light" w:hAnsi="等线 Light" w:eastAsia="等线 Light" w:cs="宋体"/>
          <w:color w:val="2F5496"/>
          <w:kern w:val="2"/>
          <w:sz w:val="48"/>
          <w:szCs w:val="48"/>
        </w:rPr>
        <w:t>摘要</w:t>
      </w:r>
    </w:p>
    <w:p w14:paraId="6F5BAA84" w14:textId="4F1B95F1">
      <w:r>
        <w:rPr>
          <w:rFonts w:ascii="等线" w:hAnsi="等线" w:eastAsia="等线" w:cs="宋体"/>
          <w:kern w:val="2"/>
          <w:sz w:val="22"/>
          <w:szCs w:val="24"/>
        </w:rPr>
        <w:t>VT8802（拟定通用名：艾</w:t>
      </w:r>
      <w:r>
        <w:rPr>
          <w:rFonts w:ascii="等线" w:hAnsi="等线" w:eastAsia="等线" w:cs="宋体"/>
          <w:kern w:val="2"/>
          <w:sz w:val="22"/>
          <w:szCs w:val="24"/>
        </w:rPr>
        <w:t>美妥珠单</w:t>
      </w:r>
      <w:r>
        <w:rPr>
          <w:rFonts w:ascii="等线" w:hAnsi="等线" w:eastAsia="等线" w:cs="宋体"/>
          <w:kern w:val="2"/>
          <w:sz w:val="22"/>
          <w:szCs w:val="24"/>
        </w:rPr>
        <w:t>抗）是一种重组人</w:t>
      </w:r>
      <w:r>
        <w:rPr>
          <w:rFonts w:ascii="等线" w:hAnsi="等线" w:eastAsia="等线" w:cs="宋体"/>
          <w:kern w:val="2"/>
          <w:sz w:val="22"/>
          <w:szCs w:val="24"/>
        </w:rPr>
        <w:t>源化抗</w:t>
      </w:r>
      <w:r>
        <w:rPr>
          <w:rFonts w:ascii="等线" w:hAnsi="等线" w:eastAsia="等线" w:cs="宋体"/>
          <w:kern w:val="2"/>
          <w:sz w:val="22"/>
          <w:szCs w:val="24"/>
        </w:rPr>
        <w:t>PD-L1单克隆抗体，拟通过阻断PD-L1通路恢复并增强T细胞</w:t>
      </w:r>
      <w:r>
        <w:rPr>
          <w:rFonts w:ascii="等线" w:hAnsi="等线" w:eastAsia="等线" w:cs="宋体"/>
          <w:kern w:val="2"/>
          <w:sz w:val="22"/>
          <w:szCs w:val="24"/>
        </w:rPr>
        <w:t>介</w:t>
      </w:r>
      <w:r>
        <w:rPr>
          <w:rFonts w:ascii="等线" w:hAnsi="等线" w:eastAsia="等线" w:cs="宋体"/>
          <w:kern w:val="2"/>
          <w:sz w:val="22"/>
          <w:szCs w:val="24"/>
        </w:rPr>
        <w:t>导的抗肿瘤免疫应答。本版《研究者手册》汇总了截至 2023年11月30日 的VT8802非临床及临床核心信息，旨在为处于临床开发阶段的试验（如OOJ-VT8802-02研究）提供支持。</w:t>
      </w:r>
    </w:p>
    <w:p w14:paraId="2AA973AE" w14:textId="77777777">
      <w:r>
        <w:rPr>
          <w:rFonts w:ascii="等线" w:hAnsi="等线" w:eastAsia="等线" w:cs="宋体"/>
          <w:kern w:val="2"/>
          <w:sz w:val="22"/>
          <w:szCs w:val="24"/>
        </w:rPr>
        <w:t>非临床与药代动力学特征</w:t>
      </w:r>
    </w:p>
    <w:p w14:paraId="214856F4" w14:textId="6CDF570E">
      <w:r>
        <w:rPr>
          <w:rFonts w:ascii="等线" w:hAnsi="等线" w:eastAsia="等线" w:cs="宋体"/>
          <w:kern w:val="2"/>
          <w:sz w:val="22"/>
          <w:szCs w:val="24"/>
        </w:rPr>
        <w:t>非临床研究结果显示，VT8802具有特异性阻断PD-L1通路的药理学活性，且现有非临床安全性评价未见阻碍继续开展临床研究的毒性发现。药代动力学方面，基于已完成的I期研究数据，VT8802在0.3~3 mg/kg Q3W剂量范围内暴露量随剂量增加而升高；结合整体安全性与初步疗效，已确定 3 mg/kg Q3W 为后续临床研究的推荐给药方案。</w:t>
      </w:r>
    </w:p>
    <w:p w14:paraId="6F3C9B71" w14:textId="77777777">
      <w:r>
        <w:rPr>
          <w:rFonts w:ascii="等线" w:hAnsi="等线" w:eastAsia="等线" w:cs="宋体"/>
          <w:kern w:val="2"/>
          <w:sz w:val="22"/>
          <w:szCs w:val="24"/>
        </w:rPr>
        <w:t>临床有效性信息</w:t>
      </w:r>
    </w:p>
    <w:p w14:paraId="1BC0AB7A" w14:textId="123C021C">
      <w:r>
        <w:rPr>
          <w:rFonts w:ascii="等线" w:hAnsi="等线" w:eastAsia="等线" w:cs="宋体"/>
          <w:kern w:val="2"/>
          <w:sz w:val="22"/>
          <w:szCs w:val="24"/>
        </w:rPr>
        <w:t>在初步临床有效性方面，已完成的I</w:t>
      </w:r>
      <w:r>
        <w:rPr>
          <w:rFonts w:ascii="等线" w:hAnsi="等线" w:eastAsia="等线" w:cs="宋体"/>
          <w:kern w:val="2"/>
          <w:sz w:val="22"/>
          <w:szCs w:val="24"/>
        </w:rPr>
        <w:t>期单药</w:t>
      </w:r>
      <w:r>
        <w:rPr>
          <w:rFonts w:ascii="等线" w:hAnsi="等线" w:eastAsia="等线" w:cs="宋体"/>
          <w:kern w:val="2"/>
          <w:sz w:val="22"/>
          <w:szCs w:val="24"/>
        </w:rPr>
        <w:t>研究（OOJ-VT8802-01）显示，在26例可评价疗效的晚期实体瘤</w:t>
      </w:r>
      <w:r>
        <w:rPr>
          <w:rFonts w:ascii="等线" w:hAnsi="等线" w:eastAsia="等线" w:cs="宋体"/>
          <w:kern w:val="2"/>
          <w:sz w:val="22"/>
          <w:szCs w:val="24"/>
        </w:rPr>
        <w:t>试验参与者</w:t>
      </w:r>
      <w:r>
        <w:rPr>
          <w:rFonts w:ascii="等线" w:hAnsi="等线" w:eastAsia="等线" w:cs="宋体"/>
          <w:kern w:val="2"/>
          <w:sz w:val="22"/>
          <w:szCs w:val="24"/>
        </w:rPr>
        <w:t>中，客观缓解率（ORR）为11.5%，疾病控制率（DCR）为46.2%。目前，旨在探索VT8802联合化疗（</w:t>
      </w:r>
      <w:r>
        <w:rPr>
          <w:rFonts w:ascii="等线" w:hAnsi="等线" w:eastAsia="等线" w:cs="宋体"/>
          <w:kern w:val="2"/>
          <w:sz w:val="22"/>
          <w:szCs w:val="24"/>
        </w:rPr>
        <w:t>卡铂和</w:t>
      </w:r>
      <w:r>
        <w:rPr>
          <w:rFonts w:ascii="等线" w:hAnsi="等线" w:eastAsia="等线" w:cs="宋体"/>
          <w:kern w:val="2"/>
          <w:sz w:val="22"/>
          <w:szCs w:val="24"/>
        </w:rPr>
        <w:t>培美曲塞）治疗晚期非</w:t>
      </w:r>
      <w:r>
        <w:rPr>
          <w:rFonts w:ascii="等线" w:hAnsi="等线" w:eastAsia="等线" w:cs="宋体"/>
          <w:kern w:val="2"/>
          <w:sz w:val="22"/>
          <w:szCs w:val="24"/>
        </w:rPr>
        <w:t>鳞状非</w:t>
      </w:r>
      <w:r>
        <w:rPr>
          <w:rFonts w:ascii="等线" w:hAnsi="等线" w:eastAsia="等线" w:cs="宋体"/>
          <w:kern w:val="2"/>
          <w:sz w:val="22"/>
          <w:szCs w:val="24"/>
        </w:rPr>
        <w:t>小细胞肺癌的II期研究（OOJ-VT8802-02）正在进行中。</w:t>
      </w:r>
    </w:p>
    <w:p w14:paraId="497F1AB9" w14:textId="77777777">
      <w:r>
        <w:rPr>
          <w:rFonts w:ascii="等线" w:hAnsi="等线" w:eastAsia="等线" w:cs="宋体"/>
          <w:kern w:val="2"/>
          <w:sz w:val="22"/>
          <w:szCs w:val="24"/>
        </w:rPr>
        <w:t>临床安全性信息</w:t>
      </w:r>
    </w:p>
    <w:p w14:paraId="2C310CEA" w14:textId="1073C2BF">
      <w:r>
        <w:rPr>
          <w:rFonts w:ascii="等线" w:hAnsi="等线" w:eastAsia="等线" w:cs="宋体"/>
          <w:kern w:val="2"/>
          <w:sz w:val="22"/>
          <w:szCs w:val="24"/>
        </w:rPr>
        <w:t>截至数据截止日，累计50例</w:t>
      </w:r>
      <w:r>
        <w:rPr>
          <w:rFonts w:ascii="等线" w:hAnsi="等线" w:eastAsia="等线" w:cs="宋体"/>
          <w:kern w:val="2"/>
          <w:sz w:val="22"/>
          <w:szCs w:val="24"/>
        </w:rPr>
        <w:t>试验参与者</w:t>
      </w:r>
      <w:r>
        <w:rPr>
          <w:rFonts w:ascii="等线" w:hAnsi="等线" w:eastAsia="等线" w:cs="宋体"/>
          <w:kern w:val="2"/>
          <w:sz w:val="22"/>
          <w:szCs w:val="24"/>
        </w:rPr>
        <w:t>接受了VT8802单药（30例）或联合化疗（20例）治疗。整体安全性特征与已知PD-1/PD-L1抑制剂风险</w:t>
      </w:r>
      <w:r>
        <w:rPr>
          <w:rFonts w:ascii="等线" w:hAnsi="等线" w:eastAsia="等线" w:cs="宋体"/>
          <w:kern w:val="2"/>
          <w:sz w:val="22"/>
          <w:szCs w:val="24"/>
        </w:rPr>
        <w:t>谱基本</w:t>
      </w:r>
      <w:r>
        <w:rPr>
          <w:rFonts w:ascii="等线" w:hAnsi="等线" w:eastAsia="等线" w:cs="宋体"/>
          <w:kern w:val="2"/>
          <w:sz w:val="22"/>
          <w:szCs w:val="24"/>
        </w:rPr>
        <w:t>一致。</w:t>
      </w:r>
    </w:p>
    <w:p w14:paraId="70C94173" w14:textId="77777777">
      <w:r>
        <w:rPr>
          <w:rFonts w:ascii="等线" w:hAnsi="等线" w:eastAsia="等线" w:cs="宋体"/>
          <w:kern w:val="2"/>
          <w:sz w:val="22"/>
          <w:szCs w:val="24"/>
        </w:rPr>
        <w:t>临床中最常报告（发生率≥10%）的不良反应主要包括：乏力、恶心、腹泻、皮疹、输液相关反应、肝功能及甲状腺功能指标异常；联合治疗中额外观察到与化疗相关的骨髓抑制事件。</w:t>
      </w:r>
    </w:p>
    <w:p w14:paraId="18E2BF45" w14:textId="73E0CDD0">
      <w:r>
        <w:rPr>
          <w:rFonts w:ascii="等线" w:hAnsi="等线" w:eastAsia="等线" w:cs="宋体"/>
          <w:kern w:val="2"/>
          <w:sz w:val="22"/>
          <w:szCs w:val="24"/>
        </w:rPr>
        <w:t>在严重安全性事件方面，基于现有累积临床安全性资料，“感染性肺炎”及“药物诱导的肝损伤”已被确定为VT8802的预期严重不良反应，并已纳入本手册的安全性参考信息（RSI）中。现有资料未提示存在需暂停或限制临床开发的新重大安全性风险。</w:t>
      </w:r>
    </w:p>
    <w:p w14:paraId="047D2DBD" w14:textId="77777777">
      <w:pPr>
        <w:pStyle w:val="1"/>
      </w:pPr>
      <w:r>
        <w:rPr>
          <w:rFonts w:ascii="等线 Light" w:hAnsi="等线 Light" w:eastAsia="等线 Light" w:cs="宋体"/>
          <w:color w:val="2F5496"/>
          <w:kern w:val="2"/>
          <w:sz w:val="48"/>
          <w:szCs w:val="48"/>
        </w:rPr>
        <w:t>一、前言</w:t>
      </w:r>
    </w:p>
    <w:p w14:paraId="51504BE1" w14:textId="77777777">
      <w:pPr>
        <w:pStyle w:val="1"/>
      </w:pPr>
      <w:r>
        <w:rPr>
          <w:rFonts w:ascii="等线 Light" w:hAnsi="等线 Light" w:eastAsia="等线 Light" w:cs="宋体"/>
          <w:color w:val="2F5496"/>
          <w:kern w:val="2"/>
          <w:sz w:val="48"/>
          <w:szCs w:val="48"/>
        </w:rPr>
        <w:t>二、物理、化学特性</w:t>
      </w:r>
    </w:p>
    <w:p w14:paraId="107BD4A0" w14:textId="77777777">
      <w:pPr>
        <w:pStyle w:val="1"/>
      </w:pPr>
      <w:r>
        <w:rPr>
          <w:rFonts w:ascii="等线 Light" w:hAnsi="等线 Light" w:eastAsia="等线 Light" w:cs="宋体"/>
          <w:color w:val="2F5496"/>
          <w:kern w:val="2"/>
          <w:sz w:val="48"/>
          <w:szCs w:val="48"/>
        </w:rPr>
        <w:t>三、非临床研究</w:t>
      </w:r>
    </w:p>
    <w:p w14:paraId="7998C873" w14:textId="77777777">
      <w:pPr>
        <w:pStyle w:val="1"/>
      </w:pPr>
      <w:r>
        <w:rPr>
          <w:rFonts w:ascii="等线 Light" w:hAnsi="等线 Light" w:eastAsia="等线 Light" w:cs="宋体"/>
          <w:color w:val="2F5496"/>
          <w:kern w:val="2"/>
          <w:sz w:val="48"/>
          <w:szCs w:val="48"/>
        </w:rPr>
        <w:t>四、人体药代动力学</w:t>
      </w:r>
    </w:p>
    <w:p w14:paraId="754EEB2B" w14:textId="77777777">
      <w:pPr>
        <w:pStyle w:val="1"/>
      </w:pPr>
      <w:r>
        <w:rPr>
          <w:rFonts w:ascii="等线 Light" w:hAnsi="等线 Light" w:eastAsia="等线 Light" w:cs="宋体"/>
          <w:color w:val="2F5496"/>
          <w:kern w:val="2"/>
          <w:sz w:val="48"/>
          <w:szCs w:val="48"/>
        </w:rPr>
        <w:t>五、临床有效性</w:t>
      </w:r>
    </w:p>
    <w:p w14:paraId="6FA0D983" w14:textId="77777777">
      <w:pPr>
        <w:pStyle w:val="1"/>
      </w:pPr>
      <w:r>
        <w:rPr>
          <w:rFonts w:ascii="等线 Light" w:hAnsi="等线 Light" w:eastAsia="等线 Light" w:cs="宋体"/>
          <w:color w:val="2F5496"/>
          <w:kern w:val="2"/>
          <w:sz w:val="48"/>
          <w:szCs w:val="48"/>
        </w:rPr>
        <w:t>六、临床安全性</w:t>
      </w:r>
    </w:p>
    <w:p w14:paraId="08C57167" w14:textId="77777777">
      <w:pPr>
        <w:pStyle w:val="2"/>
      </w:pPr>
      <w:r>
        <w:rPr>
          <w:rFonts w:ascii="等线 Light" w:hAnsi="等线 Light" w:eastAsia="等线 Light" w:cs="宋体"/>
          <w:color w:val="2F5496"/>
          <w:kern w:val="2"/>
          <w:sz w:val="40"/>
          <w:szCs w:val="40"/>
        </w:rPr>
        <w:t>6.1 VT8802 I期研究</w:t>
      </w:r>
    </w:p>
    <w:p w14:paraId="199C24CF" w14:textId="4788F345">
      <w:r>
        <w:rPr>
          <w:rFonts w:ascii="等线" w:hAnsi="等线" w:eastAsia="等线" w:cs="宋体"/>
          <w:kern w:val="2"/>
          <w:sz w:val="22"/>
          <w:szCs w:val="24"/>
        </w:rPr>
        <w:t>已完成的I期研究（OOJ-VT8802-</w:t>
      </w:r>
      <w:r>
        <w:rPr>
          <w:rFonts w:ascii="等线" w:hAnsi="等线" w:eastAsia="等线" w:cs="宋体"/>
          <w:kern w:val="2"/>
          <w:sz w:val="22"/>
          <w:szCs w:val="24"/>
        </w:rPr>
        <w:t>01</w:t>
      </w:r>
      <w:r>
        <w:rPr>
          <w:rFonts w:ascii="等线" w:hAnsi="等线" w:eastAsia="等线" w:cs="宋体"/>
          <w:kern w:val="2"/>
          <w:sz w:val="22"/>
          <w:szCs w:val="24"/>
        </w:rPr>
        <w:t>）旨在评价单药治疗晚期实体瘤的安全性、耐受性、药代动力学、免疫原性及初步抗肿瘤活性，共有30例试验参与者接受VT8802给药，0.3 mg/kg Q3W剂量组3例，1 mg/kg Q3W剂量组6例，3 mg/kg Q3W剂量组21例，</w:t>
      </w:r>
      <w:r>
        <w:rPr>
          <w:rFonts w:ascii="等线" w:hAnsi="等线" w:eastAsia="等线" w:cs="宋体"/>
          <w:kern w:val="2"/>
          <w:sz w:val="22"/>
          <w:szCs w:val="24"/>
        </w:rPr>
        <w:t>未察到</w:t>
      </w:r>
      <w:r>
        <w:rPr>
          <w:rFonts w:ascii="等线" w:hAnsi="等线" w:eastAsia="等线" w:cs="宋体"/>
          <w:kern w:val="2"/>
          <w:sz w:val="22"/>
          <w:szCs w:val="24"/>
        </w:rPr>
        <w:t>剂量限制性毒性（DLT），未达到最大耐受剂量（MTD）。28例试验参与者发生386例次治疗期间出现的不良事件（TEAE），发生率为93.3%，且有24例试验参与者发生112例次不良反应（ADR），发生率为80.0%，ADR列出详见表1。发生率≥10%的不良反应（ADR）有乏力（26.7%）、恶心（23.3%）、皮疹（20.0%）、输液相关反应（13.3%）、丙氨酸氨基转移酶升高（13.3%）、甲状腺功能减退症（10.0%）及腹泻（10.0%）。≥3级的ADR包括丙氨酸氨基转移酶升高（1例）、药物诱导的肝损伤（1例）、输液相关反应（1例）及感染性肺炎（2例）。各剂量组ADR发生模式总体相</w:t>
      </w:r>
      <w:r>
        <w:rPr>
          <w:rFonts w:ascii="等线" w:hAnsi="等线" w:eastAsia="等线" w:cs="宋体"/>
          <w:kern w:val="2"/>
          <w:sz w:val="22"/>
          <w:szCs w:val="24"/>
        </w:rPr>
        <w:t>似，未观察到随剂量升高而明显增加的不良反应趋势。5例（16.7%）试验参与者发生8例次严重不良事件（SAE），其中与研究药物相关的为感染性肺炎（2例）及药物诱导的肝损伤（1例）。</w:t>
      </w:r>
    </w:p>
    <w:p w14:paraId="163CC902" w14:textId="77777777">
      <w:r>
        <w:rPr>
          <w:rFonts w:ascii="等线" w:hAnsi="等线" w:eastAsia="等线" w:cs="宋体"/>
          <w:kern w:val="2"/>
          <w:sz w:val="22"/>
          <w:szCs w:val="24"/>
        </w:rPr>
        <w:t>4例试验参与者发生4例次输液相关反应，发生率为13.3%，表现为寒战、发热。17例试验参与者发生17例免疫相关不良事件（</w:t>
      </w:r>
      <w:r>
        <w:rPr>
          <w:rFonts w:ascii="等线" w:hAnsi="等线" w:eastAsia="等线" w:cs="宋体"/>
          <w:kern w:val="2"/>
          <w:sz w:val="22"/>
          <w:szCs w:val="24"/>
        </w:rPr>
        <w:t>irAE</w:t>
      </w:r>
      <w:r>
        <w:rPr>
          <w:rFonts w:ascii="等线" w:hAnsi="等线" w:eastAsia="等线" w:cs="宋体"/>
          <w:kern w:val="2"/>
          <w:sz w:val="22"/>
          <w:szCs w:val="24"/>
        </w:rPr>
        <w:t>），发生率为56.7%，包括皮疹、甲状腺功能减退症、丙氨酸氨基转移酶升高、腹泻、间质性肺疾病、感染性肺炎及药物诱导的肝损伤，其中≥3级的有感染性肺炎、药物诱导的肝损伤及丙氨酸氨基转移酶升高。</w:t>
      </w:r>
    </w:p>
    <w:p w14:paraId="34F800DC" w14:textId="77777777">
      <w:r>
        <w:rPr>
          <w:rFonts w:ascii="等线" w:hAnsi="等线" w:eastAsia="等线" w:cs="宋体"/>
          <w:kern w:val="2"/>
          <w:sz w:val="22"/>
          <w:szCs w:val="24"/>
        </w:rPr>
        <w:t xml:space="preserve">表1               VT8802 I</w:t>
      </w:r>
      <w:r>
        <w:rPr>
          <w:rFonts w:ascii="等线" w:hAnsi="等线" w:eastAsia="等线" w:cs="宋体"/>
          <w:kern w:val="2"/>
          <w:sz w:val="22"/>
          <w:szCs w:val="24"/>
        </w:rPr>
        <w:t>期试验</w:t>
      </w:r>
      <w:r>
        <w:rPr>
          <w:rFonts w:ascii="等线" w:hAnsi="等线" w:eastAsia="等线" w:cs="宋体"/>
          <w:kern w:val="2"/>
          <w:sz w:val="22"/>
          <w:szCs w:val="24"/>
        </w:rPr>
        <w:t>期间出现的不良反应情况汇总</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1249"/>
        <w:gridCol w:w="710"/>
        <w:gridCol w:w="680"/>
        <w:gridCol w:w="711"/>
        <w:gridCol w:w="680"/>
        <w:gridCol w:w="711"/>
        <w:gridCol w:w="680"/>
        <w:gridCol w:w="755"/>
        <w:gridCol w:w="680"/>
        <w:gridCol w:w="755"/>
        <w:gridCol w:w="695"/>
      </w:tblGrid>
      <w:tr>
        <w:trPr>
          <w:tblHeader/>
        </w:trPr>
        <w:tc>
          <w:tcPr>
            <w:tcW w:w="0" w:type="auto"/>
            <w:tcMar>
              <w:top w:w="15" w:type="dxa"/>
              <w:left w:w="15" w:type="dxa"/>
              <w:bottom w:w="15" w:type="dxa"/>
              <w:right w:w="15" w:type="dxa"/>
            </w:tcMar>
            <w:vAlign w:val="center"/>
            <w:hideMark/>
          </w:tcPr>
          <w:p w14:paraId="2945B511" w14:textId="77777777">
            <w:pPr>
              <w:rPr>
                <w:b/>
                <w:bCs/>
              </w:rPr>
            </w:pPr>
            <w:r>
              <w:rPr>
                <w:rFonts w:ascii="等线" w:hAnsi="等线" w:eastAsia="等线" w:cs="宋体"/>
                <w:b/>
                <w:bCs/>
                <w:kern w:val="2"/>
                <w:sz w:val="22"/>
                <w:szCs w:val="24"/>
              </w:rPr>
              <w:t>不良反应（SOC/PT）</w:t>
            </w:r>
          </w:p>
        </w:tc>
        <w:tc>
          <w:tcPr>
            <w:tcW w:w="0" w:type="auto"/>
            <w:tcMar>
              <w:top w:w="15" w:type="dxa"/>
              <w:left w:w="15" w:type="dxa"/>
              <w:bottom w:w="15" w:type="dxa"/>
              <w:right w:w="15" w:type="dxa"/>
            </w:tcMar>
            <w:vAlign w:val="center"/>
            <w:hideMark/>
          </w:tcPr>
          <w:p w14:paraId="7240090A" w14:textId="77777777">
            <w:pPr>
              <w:rPr>
                <w:b/>
                <w:bCs/>
              </w:rPr>
            </w:pPr>
            <w:r>
              <w:rPr>
                <w:rFonts w:ascii="等线" w:hAnsi="等线" w:eastAsia="等线" w:cs="宋体"/>
                <w:b/>
                <w:bCs/>
                <w:kern w:val="2"/>
                <w:sz w:val="22"/>
                <w:szCs w:val="24"/>
              </w:rPr>
              <w:t>0.3 mg/kg Q3W (N=3)</w:t>
            </w:r>
          </w:p>
        </w:tc>
        <w:tc>
          <w:tcPr>
            <w:tcW w:w="0" w:type="auto"/>
            <w:tcMar>
              <w:top w:w="15" w:type="dxa"/>
              <w:left w:w="15" w:type="dxa"/>
              <w:bottom w:w="15" w:type="dxa"/>
              <w:right w:w="15" w:type="dxa"/>
            </w:tcMar>
            <w:vAlign w:val="center"/>
            <w:hideMark/>
          </w:tcPr>
          <w:p w14:paraId="1DA7C9DC" w14:textId="77777777">
            <w:pPr>
              <w:rPr>
                <w:b/>
                <w:bCs/>
              </w:rPr>
            </w:pPr>
          </w:p>
        </w:tc>
        <w:tc>
          <w:tcPr>
            <w:tcW w:w="0" w:type="auto"/>
            <w:tcMar>
              <w:top w:w="15" w:type="dxa"/>
              <w:left w:w="15" w:type="dxa"/>
              <w:bottom w:w="15" w:type="dxa"/>
              <w:right w:w="15" w:type="dxa"/>
            </w:tcMar>
            <w:vAlign w:val="center"/>
            <w:hideMark/>
          </w:tcPr>
          <w:p w14:paraId="48F7AEE6" w14:textId="77777777">
            <w:pPr>
              <w:rPr>
                <w:b/>
                <w:bCs/>
              </w:rPr>
            </w:pPr>
            <w:r>
              <w:rPr>
                <w:rFonts w:ascii="等线" w:hAnsi="等线" w:eastAsia="等线" w:cs="宋体"/>
                <w:b/>
                <w:bCs/>
                <w:kern w:val="2"/>
                <w:sz w:val="22"/>
                <w:szCs w:val="24"/>
              </w:rPr>
              <w:t>1 mg/kg Q3W (N=6)</w:t>
            </w:r>
          </w:p>
        </w:tc>
        <w:tc>
          <w:tcPr>
            <w:tcW w:w="0" w:type="auto"/>
            <w:tcMar>
              <w:top w:w="15" w:type="dxa"/>
              <w:left w:w="15" w:type="dxa"/>
              <w:bottom w:w="15" w:type="dxa"/>
              <w:right w:w="15" w:type="dxa"/>
            </w:tcMar>
            <w:vAlign w:val="center"/>
            <w:hideMark/>
          </w:tcPr>
          <w:p w14:paraId="60FD8D50" w14:textId="77777777">
            <w:pPr>
              <w:rPr>
                <w:b/>
                <w:bCs/>
              </w:rPr>
            </w:pPr>
          </w:p>
        </w:tc>
        <w:tc>
          <w:tcPr>
            <w:tcW w:w="0" w:type="auto"/>
            <w:tcMar>
              <w:top w:w="15" w:type="dxa"/>
              <w:left w:w="15" w:type="dxa"/>
              <w:bottom w:w="15" w:type="dxa"/>
              <w:right w:w="15" w:type="dxa"/>
            </w:tcMar>
            <w:vAlign w:val="center"/>
            <w:hideMark/>
          </w:tcPr>
          <w:p w14:paraId="7A231525" w14:textId="77777777">
            <w:pPr>
              <w:rPr>
                <w:b/>
                <w:bCs/>
              </w:rPr>
            </w:pPr>
            <w:r>
              <w:rPr>
                <w:rFonts w:ascii="等线" w:hAnsi="等线" w:eastAsia="等线" w:cs="宋体"/>
                <w:b/>
                <w:bCs/>
                <w:kern w:val="2"/>
                <w:sz w:val="22"/>
                <w:szCs w:val="24"/>
              </w:rPr>
              <w:t>3 mg/kg Q3W (N=9)</w:t>
            </w:r>
          </w:p>
        </w:tc>
        <w:tc>
          <w:tcPr>
            <w:tcW w:w="0" w:type="auto"/>
            <w:tcMar>
              <w:top w:w="15" w:type="dxa"/>
              <w:left w:w="15" w:type="dxa"/>
              <w:bottom w:w="15" w:type="dxa"/>
              <w:right w:w="15" w:type="dxa"/>
            </w:tcMar>
            <w:vAlign w:val="center"/>
            <w:hideMark/>
          </w:tcPr>
          <w:p w14:paraId="2EEF198A" w14:textId="77777777">
            <w:pPr>
              <w:rPr>
                <w:b/>
                <w:bCs/>
              </w:rPr>
            </w:pPr>
          </w:p>
        </w:tc>
        <w:tc>
          <w:tcPr>
            <w:tcW w:w="0" w:type="auto"/>
            <w:tcMar>
              <w:top w:w="15" w:type="dxa"/>
              <w:left w:w="15" w:type="dxa"/>
              <w:bottom w:w="15" w:type="dxa"/>
              <w:right w:w="15" w:type="dxa"/>
            </w:tcMar>
            <w:vAlign w:val="center"/>
            <w:hideMark/>
          </w:tcPr>
          <w:p w14:paraId="25B38898" w14:textId="77777777">
            <w:pPr>
              <w:rPr>
                <w:b/>
                <w:bCs/>
              </w:rPr>
            </w:pPr>
            <w:r>
              <w:rPr>
                <w:rFonts w:ascii="等线" w:hAnsi="等线" w:eastAsia="等线" w:cs="宋体"/>
                <w:b/>
                <w:bCs/>
                <w:kern w:val="2"/>
                <w:sz w:val="22"/>
                <w:szCs w:val="24"/>
              </w:rPr>
              <w:t>3 mg/kg Q3W扩展 (N=12)</w:t>
            </w:r>
          </w:p>
        </w:tc>
        <w:tc>
          <w:tcPr>
            <w:tcW w:w="0" w:type="auto"/>
            <w:tcMar>
              <w:top w:w="15" w:type="dxa"/>
              <w:left w:w="15" w:type="dxa"/>
              <w:bottom w:w="15" w:type="dxa"/>
              <w:right w:w="15" w:type="dxa"/>
            </w:tcMar>
            <w:vAlign w:val="center"/>
            <w:hideMark/>
          </w:tcPr>
          <w:p w14:paraId="738BF14D" w14:textId="77777777">
            <w:pPr>
              <w:rPr>
                <w:b/>
                <w:bCs/>
              </w:rPr>
            </w:pPr>
          </w:p>
        </w:tc>
        <w:tc>
          <w:tcPr>
            <w:tcW w:w="0" w:type="auto"/>
            <w:tcMar>
              <w:top w:w="15" w:type="dxa"/>
              <w:left w:w="15" w:type="dxa"/>
              <w:bottom w:w="15" w:type="dxa"/>
              <w:right w:w="15" w:type="dxa"/>
            </w:tcMar>
            <w:vAlign w:val="center"/>
            <w:hideMark/>
          </w:tcPr>
          <w:p w14:paraId="5AB51F1E" w14:textId="77777777">
            <w:pPr>
              <w:rPr>
                <w:b/>
                <w:bCs/>
              </w:rPr>
            </w:pPr>
            <w:r>
              <w:rPr>
                <w:rFonts w:ascii="等线" w:hAnsi="等线" w:eastAsia="等线" w:cs="宋体"/>
                <w:b/>
                <w:bCs/>
                <w:kern w:val="2"/>
                <w:sz w:val="22"/>
                <w:szCs w:val="24"/>
              </w:rPr>
              <w:t>总体 (N=30)</w:t>
            </w:r>
          </w:p>
        </w:tc>
        <w:tc>
          <w:tcPr>
            <w:tcW w:w="0" w:type="auto"/>
            <w:tcMar>
              <w:top w:w="15" w:type="dxa"/>
              <w:left w:w="15" w:type="dxa"/>
              <w:bottom w:w="15" w:type="dxa"/>
              <w:right w:w="15" w:type="dxa"/>
            </w:tcMar>
            <w:vAlign w:val="center"/>
            <w:hideMark/>
          </w:tcPr>
          <w:p w14:paraId="71779D62" w14:textId="77777777">
            <w:pPr>
              <w:rPr>
                <w:b/>
                <w:bCs/>
              </w:rPr>
            </w:pPr>
          </w:p>
        </w:tc>
      </w:tr>
      <w:tr>
        <w:tc>
          <w:tcPr>
            <w:tcW w:w="0" w:type="auto"/>
            <w:tcMar>
              <w:top w:w="15" w:type="dxa"/>
              <w:left w:w="15" w:type="dxa"/>
              <w:bottom w:w="15" w:type="dxa"/>
              <w:right w:w="15" w:type="dxa"/>
            </w:tcMar>
            <w:vAlign w:val="center"/>
            <w:hideMark/>
          </w:tcPr>
          <w:p w14:paraId="17C876DE" w14:textId="77777777"/>
        </w:tc>
        <w:tc>
          <w:tcPr>
            <w:tcW w:w="0" w:type="auto"/>
            <w:tcMar>
              <w:top w:w="15" w:type="dxa"/>
              <w:left w:w="15" w:type="dxa"/>
              <w:bottom w:w="15" w:type="dxa"/>
              <w:right w:w="15" w:type="dxa"/>
            </w:tcMar>
            <w:vAlign w:val="center"/>
            <w:hideMark/>
          </w:tcPr>
          <w:p w14:paraId="0084D2C2" w14:textId="77777777">
            <w:r>
              <w:rPr>
                <w:rFonts w:ascii="等线" w:hAnsi="等线" w:eastAsia="等线" w:cs="宋体"/>
                <w:kern w:val="2"/>
                <w:sz w:val="22"/>
                <w:szCs w:val="24"/>
              </w:rPr>
              <w:t>例次</w:t>
            </w:r>
          </w:p>
        </w:tc>
        <w:tc>
          <w:tcPr>
            <w:tcW w:w="0" w:type="auto"/>
            <w:tcMar>
              <w:top w:w="15" w:type="dxa"/>
              <w:left w:w="15" w:type="dxa"/>
              <w:bottom w:w="15" w:type="dxa"/>
              <w:right w:w="15" w:type="dxa"/>
            </w:tcMar>
            <w:vAlign w:val="center"/>
            <w:hideMark/>
          </w:tcPr>
          <w:p w14:paraId="0296011F" w14:textId="77777777">
            <w:r>
              <w:rPr>
                <w:rFonts w:ascii="等线" w:hAnsi="等线" w:eastAsia="等线" w:cs="宋体"/>
                <w:kern w:val="2"/>
                <w:sz w:val="22"/>
                <w:szCs w:val="24"/>
              </w:rPr>
              <w:t>例数 (%)</w:t>
            </w:r>
          </w:p>
        </w:tc>
        <w:tc>
          <w:tcPr>
            <w:tcW w:w="0" w:type="auto"/>
            <w:tcMar>
              <w:top w:w="15" w:type="dxa"/>
              <w:left w:w="15" w:type="dxa"/>
              <w:bottom w:w="15" w:type="dxa"/>
              <w:right w:w="15" w:type="dxa"/>
            </w:tcMar>
            <w:vAlign w:val="center"/>
            <w:hideMark/>
          </w:tcPr>
          <w:p w14:paraId="4FB5AEEB" w14:textId="77777777">
            <w:r>
              <w:rPr>
                <w:rFonts w:ascii="等线" w:hAnsi="等线" w:eastAsia="等线" w:cs="宋体"/>
                <w:kern w:val="2"/>
                <w:sz w:val="22"/>
                <w:szCs w:val="24"/>
              </w:rPr>
              <w:t>例次</w:t>
            </w:r>
          </w:p>
        </w:tc>
        <w:tc>
          <w:tcPr>
            <w:tcW w:w="0" w:type="auto"/>
            <w:tcMar>
              <w:top w:w="15" w:type="dxa"/>
              <w:left w:w="15" w:type="dxa"/>
              <w:bottom w:w="15" w:type="dxa"/>
              <w:right w:w="15" w:type="dxa"/>
            </w:tcMar>
            <w:vAlign w:val="center"/>
            <w:hideMark/>
          </w:tcPr>
          <w:p w14:paraId="08045C9B" w14:textId="77777777">
            <w:r>
              <w:rPr>
                <w:rFonts w:ascii="等线" w:hAnsi="等线" w:eastAsia="等线" w:cs="宋体"/>
                <w:kern w:val="2"/>
                <w:sz w:val="22"/>
                <w:szCs w:val="24"/>
              </w:rPr>
              <w:t>例数 (%)</w:t>
            </w:r>
          </w:p>
        </w:tc>
        <w:tc>
          <w:tcPr>
            <w:tcW w:w="0" w:type="auto"/>
            <w:tcMar>
              <w:top w:w="15" w:type="dxa"/>
              <w:left w:w="15" w:type="dxa"/>
              <w:bottom w:w="15" w:type="dxa"/>
              <w:right w:w="15" w:type="dxa"/>
            </w:tcMar>
            <w:vAlign w:val="center"/>
            <w:hideMark/>
          </w:tcPr>
          <w:p w14:paraId="2A614867" w14:textId="77777777">
            <w:r>
              <w:rPr>
                <w:rFonts w:ascii="等线" w:hAnsi="等线" w:eastAsia="等线" w:cs="宋体"/>
                <w:kern w:val="2"/>
                <w:sz w:val="22"/>
                <w:szCs w:val="24"/>
              </w:rPr>
              <w:t>例次</w:t>
            </w:r>
          </w:p>
        </w:tc>
        <w:tc>
          <w:tcPr>
            <w:tcW w:w="0" w:type="auto"/>
            <w:tcMar>
              <w:top w:w="15" w:type="dxa"/>
              <w:left w:w="15" w:type="dxa"/>
              <w:bottom w:w="15" w:type="dxa"/>
              <w:right w:w="15" w:type="dxa"/>
            </w:tcMar>
            <w:vAlign w:val="center"/>
            <w:hideMark/>
          </w:tcPr>
          <w:p w14:paraId="712363B1" w14:textId="77777777">
            <w:r>
              <w:rPr>
                <w:rFonts w:ascii="等线" w:hAnsi="等线" w:eastAsia="等线" w:cs="宋体"/>
                <w:kern w:val="2"/>
                <w:sz w:val="22"/>
                <w:szCs w:val="24"/>
              </w:rPr>
              <w:t>例数 (%)</w:t>
            </w:r>
          </w:p>
        </w:tc>
        <w:tc>
          <w:tcPr>
            <w:tcW w:w="0" w:type="auto"/>
            <w:tcMar>
              <w:top w:w="15" w:type="dxa"/>
              <w:left w:w="15" w:type="dxa"/>
              <w:bottom w:w="15" w:type="dxa"/>
              <w:right w:w="15" w:type="dxa"/>
            </w:tcMar>
            <w:vAlign w:val="center"/>
            <w:hideMark/>
          </w:tcPr>
          <w:p w14:paraId="75B47A0E" w14:textId="77777777">
            <w:r>
              <w:rPr>
                <w:rFonts w:ascii="等线" w:hAnsi="等线" w:eastAsia="等线" w:cs="宋体"/>
                <w:kern w:val="2"/>
                <w:sz w:val="22"/>
                <w:szCs w:val="24"/>
              </w:rPr>
              <w:t>例次</w:t>
            </w:r>
          </w:p>
        </w:tc>
        <w:tc>
          <w:tcPr>
            <w:tcW w:w="0" w:type="auto"/>
            <w:tcMar>
              <w:top w:w="15" w:type="dxa"/>
              <w:left w:w="15" w:type="dxa"/>
              <w:bottom w:w="15" w:type="dxa"/>
              <w:right w:w="15" w:type="dxa"/>
            </w:tcMar>
            <w:vAlign w:val="center"/>
            <w:hideMark/>
          </w:tcPr>
          <w:p w14:paraId="27BB5590" w14:textId="77777777">
            <w:r>
              <w:rPr>
                <w:rFonts w:ascii="等线" w:hAnsi="等线" w:eastAsia="等线" w:cs="宋体"/>
                <w:kern w:val="2"/>
                <w:sz w:val="22"/>
                <w:szCs w:val="24"/>
              </w:rPr>
              <w:t>例数 (%)</w:t>
            </w:r>
          </w:p>
        </w:tc>
        <w:tc>
          <w:tcPr>
            <w:tcW w:w="0" w:type="auto"/>
            <w:tcMar>
              <w:top w:w="15" w:type="dxa"/>
              <w:left w:w="15" w:type="dxa"/>
              <w:bottom w:w="15" w:type="dxa"/>
              <w:right w:w="15" w:type="dxa"/>
            </w:tcMar>
            <w:vAlign w:val="center"/>
            <w:hideMark/>
          </w:tcPr>
          <w:p w14:paraId="58CE2D22" w14:textId="77777777">
            <w:r>
              <w:rPr>
                <w:rFonts w:ascii="等线" w:hAnsi="等线" w:eastAsia="等线" w:cs="宋体"/>
                <w:kern w:val="2"/>
                <w:sz w:val="22"/>
                <w:szCs w:val="24"/>
              </w:rPr>
              <w:t>例次</w:t>
            </w:r>
          </w:p>
        </w:tc>
        <w:tc>
          <w:tcPr>
            <w:tcW w:w="0" w:type="auto"/>
            <w:tcMar>
              <w:top w:w="15" w:type="dxa"/>
              <w:left w:w="15" w:type="dxa"/>
              <w:bottom w:w="15" w:type="dxa"/>
              <w:right w:w="15" w:type="dxa"/>
            </w:tcMar>
            <w:vAlign w:val="center"/>
            <w:hideMark/>
          </w:tcPr>
          <w:p w14:paraId="78A6578D" w14:textId="77777777">
            <w:r>
              <w:rPr>
                <w:rFonts w:ascii="等线" w:hAnsi="等线" w:eastAsia="等线" w:cs="宋体"/>
                <w:kern w:val="2"/>
                <w:sz w:val="22"/>
                <w:szCs w:val="24"/>
              </w:rPr>
              <w:t>例数 (%)</w:t>
            </w:r>
          </w:p>
        </w:tc>
      </w:tr>
      <w:tr>
        <w:tc>
          <w:tcPr>
            <w:tcW w:w="0" w:type="auto"/>
            <w:tcMar>
              <w:top w:w="15" w:type="dxa"/>
              <w:left w:w="15" w:type="dxa"/>
              <w:bottom w:w="15" w:type="dxa"/>
              <w:right w:w="15" w:type="dxa"/>
            </w:tcMar>
            <w:vAlign w:val="center"/>
            <w:hideMark/>
          </w:tcPr>
          <w:p w14:paraId="77DA0361" w14:textId="77777777">
            <w:r>
              <w:rPr>
                <w:rFonts w:ascii="等线" w:hAnsi="等线" w:eastAsia="等线" w:cs="宋体"/>
                <w:kern w:val="2"/>
                <w:sz w:val="22"/>
                <w:szCs w:val="24"/>
              </w:rPr>
              <w:t>所有ADR</w:t>
            </w:r>
          </w:p>
        </w:tc>
        <w:tc>
          <w:tcPr>
            <w:tcW w:w="0" w:type="auto"/>
            <w:tcMar>
              <w:top w:w="15" w:type="dxa"/>
              <w:left w:w="15" w:type="dxa"/>
              <w:bottom w:w="15" w:type="dxa"/>
              <w:right w:w="15" w:type="dxa"/>
            </w:tcMar>
            <w:vAlign w:val="center"/>
            <w:hideMark/>
          </w:tcPr>
          <w:p w14:paraId="01C08CE3"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52E9A2A0" w14:textId="77777777">
            <w:r>
              <w:rPr>
                <w:rFonts w:ascii="等线" w:hAnsi="等线" w:eastAsia="等线" w:cs="宋体"/>
                <w:kern w:val="2"/>
                <w:sz w:val="22"/>
                <w:szCs w:val="24"/>
              </w:rPr>
              <w:t>2 (66.7%)</w:t>
            </w:r>
          </w:p>
        </w:tc>
        <w:tc>
          <w:tcPr>
            <w:tcW w:w="0" w:type="auto"/>
            <w:tcMar>
              <w:top w:w="15" w:type="dxa"/>
              <w:left w:w="15" w:type="dxa"/>
              <w:bottom w:w="15" w:type="dxa"/>
              <w:right w:w="15" w:type="dxa"/>
            </w:tcMar>
            <w:vAlign w:val="center"/>
            <w:hideMark/>
          </w:tcPr>
          <w:p w14:paraId="6810BCE0" w14:textId="77777777">
            <w:r>
              <w:rPr>
                <w:rFonts w:ascii="等线" w:hAnsi="等线" w:eastAsia="等线" w:cs="宋体"/>
                <w:kern w:val="2"/>
                <w:sz w:val="22"/>
                <w:szCs w:val="24"/>
              </w:rPr>
              <w:t>13</w:t>
            </w:r>
          </w:p>
        </w:tc>
        <w:tc>
          <w:tcPr>
            <w:tcW w:w="0" w:type="auto"/>
            <w:tcMar>
              <w:top w:w="15" w:type="dxa"/>
              <w:left w:w="15" w:type="dxa"/>
              <w:bottom w:w="15" w:type="dxa"/>
              <w:right w:w="15" w:type="dxa"/>
            </w:tcMar>
            <w:vAlign w:val="center"/>
            <w:hideMark/>
          </w:tcPr>
          <w:p w14:paraId="652ACBAB" w14:textId="77777777">
            <w:r>
              <w:rPr>
                <w:rFonts w:ascii="等线" w:hAnsi="等线" w:eastAsia="等线" w:cs="宋体"/>
                <w:kern w:val="2"/>
                <w:sz w:val="22"/>
                <w:szCs w:val="24"/>
              </w:rPr>
              <w:t>5 (83.3%)</w:t>
            </w:r>
          </w:p>
        </w:tc>
        <w:tc>
          <w:tcPr>
            <w:tcW w:w="0" w:type="auto"/>
            <w:tcMar>
              <w:top w:w="15" w:type="dxa"/>
              <w:left w:w="15" w:type="dxa"/>
              <w:bottom w:w="15" w:type="dxa"/>
              <w:right w:w="15" w:type="dxa"/>
            </w:tcMar>
            <w:vAlign w:val="center"/>
            <w:hideMark/>
          </w:tcPr>
          <w:p w14:paraId="35D44759" w14:textId="77777777">
            <w:r>
              <w:rPr>
                <w:rFonts w:ascii="等线" w:hAnsi="等线" w:eastAsia="等线" w:cs="宋体"/>
                <w:kern w:val="2"/>
                <w:sz w:val="22"/>
                <w:szCs w:val="24"/>
              </w:rPr>
              <w:t>37</w:t>
            </w:r>
          </w:p>
        </w:tc>
        <w:tc>
          <w:tcPr>
            <w:tcW w:w="0" w:type="auto"/>
            <w:tcMar>
              <w:top w:w="15" w:type="dxa"/>
              <w:left w:w="15" w:type="dxa"/>
              <w:bottom w:w="15" w:type="dxa"/>
              <w:right w:w="15" w:type="dxa"/>
            </w:tcMar>
            <w:vAlign w:val="center"/>
            <w:hideMark/>
          </w:tcPr>
          <w:p w14:paraId="2BC1EE36" w14:textId="77777777">
            <w:r>
              <w:rPr>
                <w:rFonts w:ascii="等线" w:hAnsi="等线" w:eastAsia="等线" w:cs="宋体"/>
                <w:kern w:val="2"/>
                <w:sz w:val="22"/>
                <w:szCs w:val="24"/>
              </w:rPr>
              <w:t>8 (88.9%)</w:t>
            </w:r>
          </w:p>
        </w:tc>
        <w:tc>
          <w:tcPr>
            <w:tcW w:w="0" w:type="auto"/>
            <w:tcMar>
              <w:top w:w="15" w:type="dxa"/>
              <w:left w:w="15" w:type="dxa"/>
              <w:bottom w:w="15" w:type="dxa"/>
              <w:right w:w="15" w:type="dxa"/>
            </w:tcMar>
            <w:vAlign w:val="center"/>
            <w:hideMark/>
          </w:tcPr>
          <w:p w14:paraId="49DC4F08" w14:textId="77777777">
            <w:r>
              <w:rPr>
                <w:rFonts w:ascii="等线" w:hAnsi="等线" w:eastAsia="等线" w:cs="宋体"/>
                <w:kern w:val="2"/>
                <w:sz w:val="22"/>
                <w:szCs w:val="24"/>
              </w:rPr>
              <w:t>58</w:t>
            </w:r>
          </w:p>
        </w:tc>
        <w:tc>
          <w:tcPr>
            <w:tcW w:w="0" w:type="auto"/>
            <w:tcMar>
              <w:top w:w="15" w:type="dxa"/>
              <w:left w:w="15" w:type="dxa"/>
              <w:bottom w:w="15" w:type="dxa"/>
              <w:right w:w="15" w:type="dxa"/>
            </w:tcMar>
            <w:vAlign w:val="center"/>
            <w:hideMark/>
          </w:tcPr>
          <w:p w14:paraId="23D0AF57" w14:textId="77777777">
            <w:r>
              <w:rPr>
                <w:rFonts w:ascii="等线" w:hAnsi="等线" w:eastAsia="等线" w:cs="宋体"/>
                <w:kern w:val="2"/>
                <w:sz w:val="22"/>
                <w:szCs w:val="24"/>
              </w:rPr>
              <w:t>9 (75.0%)</w:t>
            </w:r>
          </w:p>
        </w:tc>
        <w:tc>
          <w:tcPr>
            <w:tcW w:w="0" w:type="auto"/>
            <w:tcMar>
              <w:top w:w="15" w:type="dxa"/>
              <w:left w:w="15" w:type="dxa"/>
              <w:bottom w:w="15" w:type="dxa"/>
              <w:right w:w="15" w:type="dxa"/>
            </w:tcMar>
            <w:vAlign w:val="center"/>
            <w:hideMark/>
          </w:tcPr>
          <w:p w14:paraId="17E35062" w14:textId="77777777">
            <w:r>
              <w:rPr>
                <w:rFonts w:ascii="等线" w:hAnsi="等线" w:eastAsia="等线" w:cs="宋体"/>
                <w:kern w:val="2"/>
                <w:sz w:val="22"/>
                <w:szCs w:val="24"/>
              </w:rPr>
              <w:t>112</w:t>
            </w:r>
          </w:p>
        </w:tc>
        <w:tc>
          <w:tcPr>
            <w:tcW w:w="0" w:type="auto"/>
            <w:tcMar>
              <w:top w:w="15" w:type="dxa"/>
              <w:left w:w="15" w:type="dxa"/>
              <w:bottom w:w="15" w:type="dxa"/>
              <w:right w:w="15" w:type="dxa"/>
            </w:tcMar>
            <w:vAlign w:val="center"/>
            <w:hideMark/>
          </w:tcPr>
          <w:p w14:paraId="068F86CA" w14:textId="77777777">
            <w:r>
              <w:rPr>
                <w:rFonts w:ascii="等线" w:hAnsi="等线" w:eastAsia="等线" w:cs="宋体"/>
                <w:kern w:val="2"/>
                <w:sz w:val="22"/>
                <w:szCs w:val="24"/>
              </w:rPr>
              <w:t>24 (80.0%)</w:t>
            </w:r>
          </w:p>
        </w:tc>
      </w:tr>
      <w:tr>
        <w:tc>
          <w:tcPr>
            <w:tcW w:w="0" w:type="auto"/>
            <w:tcMar>
              <w:top w:w="15" w:type="dxa"/>
              <w:left w:w="15" w:type="dxa"/>
              <w:bottom w:w="15" w:type="dxa"/>
              <w:right w:w="15" w:type="dxa"/>
            </w:tcMar>
            <w:vAlign w:val="center"/>
            <w:hideMark/>
          </w:tcPr>
          <w:p w14:paraId="6EAE74D2" w14:textId="77777777">
            <w:r>
              <w:rPr>
                <w:rFonts w:ascii="等线" w:hAnsi="等线" w:eastAsia="等线" w:cs="宋体"/>
                <w:b/>
                <w:bCs/>
                <w:kern w:val="2"/>
                <w:sz w:val="22"/>
                <w:szCs w:val="24"/>
              </w:rPr>
              <w:t>全身性疾病及给药部位各种反应</w:t>
            </w:r>
          </w:p>
        </w:tc>
        <w:tc>
          <w:tcPr>
            <w:tcW w:w="0" w:type="auto"/>
            <w:tcMar>
              <w:top w:w="15" w:type="dxa"/>
              <w:left w:w="15" w:type="dxa"/>
              <w:bottom w:w="15" w:type="dxa"/>
              <w:right w:w="15" w:type="dxa"/>
            </w:tcMar>
            <w:vAlign w:val="center"/>
            <w:hideMark/>
          </w:tcPr>
          <w:p w14:paraId="35C48052"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E7B9025"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7555CAC8"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775157B5" w14:textId="77777777">
            <w:r>
              <w:rPr>
                <w:rFonts w:ascii="等线" w:hAnsi="等线" w:eastAsia="等线" w:cs="宋体"/>
                <w:kern w:val="2"/>
                <w:sz w:val="22"/>
                <w:szCs w:val="24"/>
              </w:rPr>
              <w:t>5 (83.3%)</w:t>
            </w:r>
          </w:p>
        </w:tc>
        <w:tc>
          <w:tcPr>
            <w:tcW w:w="0" w:type="auto"/>
            <w:tcMar>
              <w:top w:w="15" w:type="dxa"/>
              <w:left w:w="15" w:type="dxa"/>
              <w:bottom w:w="15" w:type="dxa"/>
              <w:right w:w="15" w:type="dxa"/>
            </w:tcMar>
            <w:vAlign w:val="center"/>
            <w:hideMark/>
          </w:tcPr>
          <w:p w14:paraId="069EC11B"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1362D026" w14:textId="77777777">
            <w:r>
              <w:rPr>
                <w:rFonts w:ascii="等线" w:hAnsi="等线" w:eastAsia="等线" w:cs="宋体"/>
                <w:kern w:val="2"/>
                <w:sz w:val="22"/>
                <w:szCs w:val="24"/>
              </w:rPr>
              <w:t>4 (44.4%)</w:t>
            </w:r>
          </w:p>
        </w:tc>
        <w:tc>
          <w:tcPr>
            <w:tcW w:w="0" w:type="auto"/>
            <w:tcMar>
              <w:top w:w="15" w:type="dxa"/>
              <w:left w:w="15" w:type="dxa"/>
              <w:bottom w:w="15" w:type="dxa"/>
              <w:right w:w="15" w:type="dxa"/>
            </w:tcMar>
            <w:vAlign w:val="center"/>
            <w:hideMark/>
          </w:tcPr>
          <w:p w14:paraId="50D80324" w14:textId="77777777">
            <w:r>
              <w:rPr>
                <w:rFonts w:ascii="等线" w:hAnsi="等线" w:eastAsia="等线" w:cs="宋体"/>
                <w:kern w:val="2"/>
                <w:sz w:val="22"/>
                <w:szCs w:val="24"/>
              </w:rPr>
              <w:t>11</w:t>
            </w:r>
          </w:p>
        </w:tc>
        <w:tc>
          <w:tcPr>
            <w:tcW w:w="0" w:type="auto"/>
            <w:tcMar>
              <w:top w:w="15" w:type="dxa"/>
              <w:left w:w="15" w:type="dxa"/>
              <w:bottom w:w="15" w:type="dxa"/>
              <w:right w:w="15" w:type="dxa"/>
            </w:tcMar>
            <w:vAlign w:val="center"/>
            <w:hideMark/>
          </w:tcPr>
          <w:p w14:paraId="09FD64E8" w14:textId="77777777">
            <w:r>
              <w:rPr>
                <w:rFonts w:ascii="等线" w:hAnsi="等线" w:eastAsia="等线" w:cs="宋体"/>
                <w:kern w:val="2"/>
                <w:sz w:val="22"/>
                <w:szCs w:val="24"/>
              </w:rPr>
              <w:t>6 (50.0%)</w:t>
            </w:r>
          </w:p>
        </w:tc>
        <w:tc>
          <w:tcPr>
            <w:tcW w:w="0" w:type="auto"/>
            <w:tcMar>
              <w:top w:w="15" w:type="dxa"/>
              <w:left w:w="15" w:type="dxa"/>
              <w:bottom w:w="15" w:type="dxa"/>
              <w:right w:w="15" w:type="dxa"/>
            </w:tcMar>
            <w:vAlign w:val="center"/>
            <w:hideMark/>
          </w:tcPr>
          <w:p w14:paraId="5914D02D" w14:textId="77777777">
            <w:r>
              <w:rPr>
                <w:rFonts w:ascii="等线" w:hAnsi="等线" w:eastAsia="等线" w:cs="宋体"/>
                <w:kern w:val="2"/>
                <w:sz w:val="22"/>
                <w:szCs w:val="24"/>
              </w:rPr>
              <w:t>21</w:t>
            </w:r>
          </w:p>
        </w:tc>
        <w:tc>
          <w:tcPr>
            <w:tcW w:w="0" w:type="auto"/>
            <w:tcMar>
              <w:top w:w="15" w:type="dxa"/>
              <w:left w:w="15" w:type="dxa"/>
              <w:bottom w:w="15" w:type="dxa"/>
              <w:right w:w="15" w:type="dxa"/>
            </w:tcMar>
            <w:vAlign w:val="center"/>
            <w:hideMark/>
          </w:tcPr>
          <w:p w14:paraId="0E833B86" w14:textId="77777777">
            <w:r>
              <w:rPr>
                <w:rFonts w:ascii="等线" w:hAnsi="等线" w:eastAsia="等线" w:cs="宋体"/>
                <w:kern w:val="2"/>
                <w:sz w:val="22"/>
                <w:szCs w:val="24"/>
              </w:rPr>
              <w:t>16 (53.3%)</w:t>
            </w:r>
          </w:p>
        </w:tc>
      </w:tr>
      <w:tr>
        <w:tc>
          <w:tcPr>
            <w:tcW w:w="0" w:type="auto"/>
            <w:tcMar>
              <w:top w:w="15" w:type="dxa"/>
              <w:left w:w="15" w:type="dxa"/>
              <w:bottom w:w="15" w:type="dxa"/>
              <w:right w:w="15" w:type="dxa"/>
            </w:tcMar>
            <w:vAlign w:val="center"/>
            <w:hideMark/>
          </w:tcPr>
          <w:p w14:paraId="1E41425B" w14:textId="77777777">
            <w:r>
              <w:rPr>
                <w:rFonts w:ascii="等线" w:hAnsi="等线" w:eastAsia="等线" w:cs="宋体"/>
                <w:kern w:val="2"/>
                <w:sz w:val="22"/>
                <w:szCs w:val="24"/>
              </w:rPr>
              <w:t>乏力</w:t>
            </w:r>
          </w:p>
        </w:tc>
        <w:tc>
          <w:tcPr>
            <w:tcW w:w="0" w:type="auto"/>
            <w:tcMar>
              <w:top w:w="15" w:type="dxa"/>
              <w:left w:w="15" w:type="dxa"/>
              <w:bottom w:w="15" w:type="dxa"/>
              <w:right w:w="15" w:type="dxa"/>
            </w:tcMar>
            <w:vAlign w:val="center"/>
            <w:hideMark/>
          </w:tcPr>
          <w:p w14:paraId="489B58DA"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0AAC7B17"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15FAD74F"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3229CC8" w14:textId="77777777">
            <w:r>
              <w:rPr>
                <w:rFonts w:ascii="等线" w:hAnsi="等线" w:eastAsia="等线" w:cs="宋体"/>
                <w:kern w:val="2"/>
                <w:sz w:val="22"/>
                <w:szCs w:val="24"/>
              </w:rPr>
              <w:t>2 (33.3%)</w:t>
            </w:r>
          </w:p>
        </w:tc>
        <w:tc>
          <w:tcPr>
            <w:tcW w:w="0" w:type="auto"/>
            <w:tcMar>
              <w:top w:w="15" w:type="dxa"/>
              <w:left w:w="15" w:type="dxa"/>
              <w:bottom w:w="15" w:type="dxa"/>
              <w:right w:w="15" w:type="dxa"/>
            </w:tcMar>
            <w:vAlign w:val="center"/>
            <w:hideMark/>
          </w:tcPr>
          <w:p w14:paraId="71E58F80"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EBF2274" w14:textId="77777777">
            <w:r>
              <w:rPr>
                <w:rFonts w:ascii="等线" w:hAnsi="等线" w:eastAsia="等线" w:cs="宋体"/>
                <w:kern w:val="2"/>
                <w:sz w:val="22"/>
                <w:szCs w:val="24"/>
              </w:rPr>
              <w:t>3 (33.3%)</w:t>
            </w:r>
          </w:p>
        </w:tc>
        <w:tc>
          <w:tcPr>
            <w:tcW w:w="0" w:type="auto"/>
            <w:tcMar>
              <w:top w:w="15" w:type="dxa"/>
              <w:left w:w="15" w:type="dxa"/>
              <w:bottom w:w="15" w:type="dxa"/>
              <w:right w:w="15" w:type="dxa"/>
            </w:tcMar>
            <w:vAlign w:val="center"/>
            <w:hideMark/>
          </w:tcPr>
          <w:p w14:paraId="559986D8"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7DD6E9FA" w14:textId="77777777">
            <w:r>
              <w:rPr>
                <w:rFonts w:ascii="等线" w:hAnsi="等线" w:eastAsia="等线" w:cs="宋体"/>
                <w:kern w:val="2"/>
                <w:sz w:val="22"/>
                <w:szCs w:val="24"/>
              </w:rPr>
              <w:t>2 (16.7%)</w:t>
            </w:r>
          </w:p>
        </w:tc>
        <w:tc>
          <w:tcPr>
            <w:tcW w:w="0" w:type="auto"/>
            <w:tcMar>
              <w:top w:w="15" w:type="dxa"/>
              <w:left w:w="15" w:type="dxa"/>
              <w:bottom w:w="15" w:type="dxa"/>
              <w:right w:w="15" w:type="dxa"/>
            </w:tcMar>
            <w:vAlign w:val="center"/>
            <w:hideMark/>
          </w:tcPr>
          <w:p w14:paraId="38DB1009" w14:textId="77777777">
            <w:r>
              <w:rPr>
                <w:rFonts w:ascii="等线" w:hAnsi="等线" w:eastAsia="等线" w:cs="宋体"/>
                <w:kern w:val="2"/>
                <w:sz w:val="22"/>
                <w:szCs w:val="24"/>
              </w:rPr>
              <w:t>8</w:t>
            </w:r>
          </w:p>
        </w:tc>
        <w:tc>
          <w:tcPr>
            <w:tcW w:w="0" w:type="auto"/>
            <w:tcMar>
              <w:top w:w="15" w:type="dxa"/>
              <w:left w:w="15" w:type="dxa"/>
              <w:bottom w:w="15" w:type="dxa"/>
              <w:right w:w="15" w:type="dxa"/>
            </w:tcMar>
            <w:vAlign w:val="center"/>
            <w:hideMark/>
          </w:tcPr>
          <w:p w14:paraId="4702F89E" w14:textId="77777777">
            <w:r>
              <w:rPr>
                <w:rFonts w:ascii="等线" w:hAnsi="等线" w:eastAsia="等线" w:cs="宋体"/>
                <w:kern w:val="2"/>
                <w:sz w:val="22"/>
                <w:szCs w:val="24"/>
              </w:rPr>
              <w:t>8 (26.7%)</w:t>
            </w:r>
          </w:p>
        </w:tc>
      </w:tr>
      <w:tr>
        <w:tc>
          <w:tcPr>
            <w:tcW w:w="0" w:type="auto"/>
            <w:tcMar>
              <w:top w:w="15" w:type="dxa"/>
              <w:left w:w="15" w:type="dxa"/>
              <w:bottom w:w="15" w:type="dxa"/>
              <w:right w:w="15" w:type="dxa"/>
            </w:tcMar>
            <w:vAlign w:val="center"/>
            <w:hideMark/>
          </w:tcPr>
          <w:p w14:paraId="5FDFC12A" w14:textId="77777777">
            <w:r>
              <w:rPr>
                <w:rFonts w:ascii="等线" w:hAnsi="等线" w:eastAsia="等线" w:cs="宋体"/>
                <w:kern w:val="2"/>
                <w:sz w:val="22"/>
                <w:szCs w:val="24"/>
              </w:rPr>
              <w:t>输液相关反应</w:t>
            </w:r>
          </w:p>
        </w:tc>
        <w:tc>
          <w:tcPr>
            <w:tcW w:w="0" w:type="auto"/>
            <w:tcMar>
              <w:top w:w="15" w:type="dxa"/>
              <w:left w:w="15" w:type="dxa"/>
              <w:bottom w:w="15" w:type="dxa"/>
              <w:right w:w="15" w:type="dxa"/>
            </w:tcMar>
            <w:vAlign w:val="center"/>
            <w:hideMark/>
          </w:tcPr>
          <w:p w14:paraId="26024EC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19454E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289CF06"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BD8005C"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1892818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7808D35"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29B610AF"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8AAC8AA" w14:textId="77777777">
            <w:r>
              <w:rPr>
                <w:rFonts w:ascii="等线" w:hAnsi="等线" w:eastAsia="等线" w:cs="宋体"/>
                <w:kern w:val="2"/>
                <w:sz w:val="22"/>
                <w:szCs w:val="24"/>
              </w:rPr>
              <w:t>2 (16.7%)</w:t>
            </w:r>
          </w:p>
        </w:tc>
        <w:tc>
          <w:tcPr>
            <w:tcW w:w="0" w:type="auto"/>
            <w:tcMar>
              <w:top w:w="15" w:type="dxa"/>
              <w:left w:w="15" w:type="dxa"/>
              <w:bottom w:w="15" w:type="dxa"/>
              <w:right w:w="15" w:type="dxa"/>
            </w:tcMar>
            <w:vAlign w:val="center"/>
            <w:hideMark/>
          </w:tcPr>
          <w:p w14:paraId="5AE0F959"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03CAB223" w14:textId="77777777">
            <w:r>
              <w:rPr>
                <w:rFonts w:ascii="等线" w:hAnsi="等线" w:eastAsia="等线" w:cs="宋体"/>
                <w:kern w:val="2"/>
                <w:sz w:val="22"/>
                <w:szCs w:val="24"/>
              </w:rPr>
              <w:t>4 (13.3%)</w:t>
            </w:r>
          </w:p>
        </w:tc>
      </w:tr>
      <w:tr>
        <w:tc>
          <w:tcPr>
            <w:tcW w:w="0" w:type="auto"/>
            <w:tcMar>
              <w:top w:w="15" w:type="dxa"/>
              <w:left w:w="15" w:type="dxa"/>
              <w:bottom w:w="15" w:type="dxa"/>
              <w:right w:w="15" w:type="dxa"/>
            </w:tcMar>
            <w:vAlign w:val="center"/>
            <w:hideMark/>
          </w:tcPr>
          <w:p w14:paraId="094B4782" w14:textId="77777777">
            <w:r>
              <w:rPr>
                <w:rFonts w:ascii="等线" w:hAnsi="等线" w:eastAsia="等线" w:cs="宋体"/>
                <w:kern w:val="2"/>
                <w:sz w:val="22"/>
                <w:szCs w:val="24"/>
              </w:rPr>
              <w:t>发热</w:t>
            </w:r>
          </w:p>
        </w:tc>
        <w:tc>
          <w:tcPr>
            <w:tcW w:w="0" w:type="auto"/>
            <w:tcMar>
              <w:top w:w="15" w:type="dxa"/>
              <w:left w:w="15" w:type="dxa"/>
              <w:bottom w:w="15" w:type="dxa"/>
              <w:right w:w="15" w:type="dxa"/>
            </w:tcMar>
            <w:vAlign w:val="center"/>
            <w:hideMark/>
          </w:tcPr>
          <w:p w14:paraId="2803088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76B667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E46658E"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DB2C444"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0E2029B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2ED102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B904968"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495CF3F3"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0E07819B"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5103BFFE"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6FE0996F" w14:textId="77777777">
            <w:r>
              <w:lastRenderedPageBreak/>
              <w:rPr>
                <w:rFonts w:ascii="等线" w:hAnsi="等线" w:eastAsia="等线" w:cs="宋体"/>
                <w:kern w:val="2"/>
                <w:sz w:val="22"/>
                <w:szCs w:val="24"/>
              </w:rPr>
              <w:t>寒战</w:t>
            </w:r>
          </w:p>
        </w:tc>
        <w:tc>
          <w:tcPr>
            <w:tcW w:w="0" w:type="auto"/>
            <w:tcMar>
              <w:top w:w="15" w:type="dxa"/>
              <w:left w:w="15" w:type="dxa"/>
              <w:bottom w:w="15" w:type="dxa"/>
              <w:right w:w="15" w:type="dxa"/>
            </w:tcMar>
            <w:vAlign w:val="center"/>
            <w:hideMark/>
          </w:tcPr>
          <w:p w14:paraId="166B1C5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62A96A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AE2AA8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74B60FA1"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078291F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726A1F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01FAC5C"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3A243165"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1987BFB8"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07D2A906"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365160B2" w14:textId="77777777">
            <w:r>
              <w:rPr>
                <w:rFonts w:ascii="等线" w:hAnsi="等线" w:eastAsia="等线" w:cs="宋体"/>
                <w:b/>
                <w:bCs/>
                <w:kern w:val="2"/>
                <w:sz w:val="22"/>
                <w:szCs w:val="24"/>
              </w:rPr>
              <w:t>胃肠系统疾病</w:t>
            </w:r>
          </w:p>
        </w:tc>
        <w:tc>
          <w:tcPr>
            <w:tcW w:w="0" w:type="auto"/>
            <w:tcMar>
              <w:top w:w="15" w:type="dxa"/>
              <w:left w:w="15" w:type="dxa"/>
              <w:bottom w:w="15" w:type="dxa"/>
              <w:right w:w="15" w:type="dxa"/>
            </w:tcMar>
            <w:vAlign w:val="center"/>
            <w:hideMark/>
          </w:tcPr>
          <w:p w14:paraId="6AF75963"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E2D2B2B"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15DDE25F"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7C421081" w14:textId="77777777">
            <w:r>
              <w:rPr>
                <w:rFonts w:ascii="等线" w:hAnsi="等线" w:eastAsia="等线" w:cs="宋体"/>
                <w:kern w:val="2"/>
                <w:sz w:val="22"/>
                <w:szCs w:val="24"/>
              </w:rPr>
              <w:t>2 (33.3%)</w:t>
            </w:r>
          </w:p>
        </w:tc>
        <w:tc>
          <w:tcPr>
            <w:tcW w:w="0" w:type="auto"/>
            <w:tcMar>
              <w:top w:w="15" w:type="dxa"/>
              <w:left w:w="15" w:type="dxa"/>
              <w:bottom w:w="15" w:type="dxa"/>
              <w:right w:w="15" w:type="dxa"/>
            </w:tcMar>
            <w:vAlign w:val="center"/>
            <w:hideMark/>
          </w:tcPr>
          <w:p w14:paraId="0D801556"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05BF2A16" w14:textId="77777777">
            <w:r>
              <w:rPr>
                <w:rFonts w:ascii="等线" w:hAnsi="等线" w:eastAsia="等线" w:cs="宋体"/>
                <w:kern w:val="2"/>
                <w:sz w:val="22"/>
                <w:szCs w:val="24"/>
              </w:rPr>
              <w:t>4 (44.4%)</w:t>
            </w:r>
          </w:p>
        </w:tc>
        <w:tc>
          <w:tcPr>
            <w:tcW w:w="0" w:type="auto"/>
            <w:tcMar>
              <w:top w:w="15" w:type="dxa"/>
              <w:left w:w="15" w:type="dxa"/>
              <w:bottom w:w="15" w:type="dxa"/>
              <w:right w:w="15" w:type="dxa"/>
            </w:tcMar>
            <w:vAlign w:val="center"/>
            <w:hideMark/>
          </w:tcPr>
          <w:p w14:paraId="11BE370E"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4952DC3E" w14:textId="77777777">
            <w:r>
              <w:rPr>
                <w:rFonts w:ascii="等线" w:hAnsi="等线" w:eastAsia="等线" w:cs="宋体"/>
                <w:kern w:val="2"/>
                <w:sz w:val="22"/>
                <w:szCs w:val="24"/>
              </w:rPr>
              <w:t>5 (41.7%)</w:t>
            </w:r>
          </w:p>
        </w:tc>
        <w:tc>
          <w:tcPr>
            <w:tcW w:w="0" w:type="auto"/>
            <w:tcMar>
              <w:top w:w="15" w:type="dxa"/>
              <w:left w:w="15" w:type="dxa"/>
              <w:bottom w:w="15" w:type="dxa"/>
              <w:right w:w="15" w:type="dxa"/>
            </w:tcMar>
            <w:vAlign w:val="center"/>
            <w:hideMark/>
          </w:tcPr>
          <w:p w14:paraId="0AD80D4B" w14:textId="77777777">
            <w:r>
              <w:rPr>
                <w:rFonts w:ascii="等线" w:hAnsi="等线" w:eastAsia="等线" w:cs="宋体"/>
                <w:kern w:val="2"/>
                <w:sz w:val="22"/>
                <w:szCs w:val="24"/>
              </w:rPr>
              <w:t>14</w:t>
            </w:r>
          </w:p>
        </w:tc>
        <w:tc>
          <w:tcPr>
            <w:tcW w:w="0" w:type="auto"/>
            <w:tcMar>
              <w:top w:w="15" w:type="dxa"/>
              <w:left w:w="15" w:type="dxa"/>
              <w:bottom w:w="15" w:type="dxa"/>
              <w:right w:w="15" w:type="dxa"/>
            </w:tcMar>
            <w:vAlign w:val="center"/>
            <w:hideMark/>
          </w:tcPr>
          <w:p w14:paraId="1D82B6C3" w14:textId="77777777">
            <w:r>
              <w:rPr>
                <w:rFonts w:ascii="等线" w:hAnsi="等线" w:eastAsia="等线" w:cs="宋体"/>
                <w:kern w:val="2"/>
                <w:sz w:val="22"/>
                <w:szCs w:val="24"/>
              </w:rPr>
              <w:t>12 (40.0%)</w:t>
            </w:r>
          </w:p>
        </w:tc>
      </w:tr>
      <w:tr>
        <w:tc>
          <w:tcPr>
            <w:tcW w:w="0" w:type="auto"/>
            <w:tcMar>
              <w:top w:w="15" w:type="dxa"/>
              <w:left w:w="15" w:type="dxa"/>
              <w:bottom w:w="15" w:type="dxa"/>
              <w:right w:w="15" w:type="dxa"/>
            </w:tcMar>
            <w:vAlign w:val="center"/>
            <w:hideMark/>
          </w:tcPr>
          <w:p w14:paraId="2A9C5D1B" w14:textId="77777777">
            <w:r>
              <w:rPr>
                <w:rFonts w:ascii="等线" w:hAnsi="等线" w:eastAsia="等线" w:cs="宋体"/>
                <w:kern w:val="2"/>
                <w:sz w:val="22"/>
                <w:szCs w:val="24"/>
              </w:rPr>
              <w:t>恶心</w:t>
            </w:r>
          </w:p>
        </w:tc>
        <w:tc>
          <w:tcPr>
            <w:tcW w:w="0" w:type="auto"/>
            <w:tcMar>
              <w:top w:w="15" w:type="dxa"/>
              <w:left w:w="15" w:type="dxa"/>
              <w:bottom w:w="15" w:type="dxa"/>
              <w:right w:w="15" w:type="dxa"/>
            </w:tcMar>
            <w:vAlign w:val="center"/>
            <w:hideMark/>
          </w:tcPr>
          <w:p w14:paraId="4BAC977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73CAFF0"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2E366AF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78B3862F"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1A2FB93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3E0CABF" w14:textId="77777777">
            <w:r>
              <w:rPr>
                <w:rFonts w:ascii="等线" w:hAnsi="等线" w:eastAsia="等线" w:cs="宋体"/>
                <w:kern w:val="2"/>
                <w:sz w:val="22"/>
                <w:szCs w:val="24"/>
              </w:rPr>
              <w:t>2 (22.2%)</w:t>
            </w:r>
          </w:p>
        </w:tc>
        <w:tc>
          <w:tcPr>
            <w:tcW w:w="0" w:type="auto"/>
            <w:tcMar>
              <w:top w:w="15" w:type="dxa"/>
              <w:left w:w="15" w:type="dxa"/>
              <w:bottom w:w="15" w:type="dxa"/>
              <w:right w:w="15" w:type="dxa"/>
            </w:tcMar>
            <w:vAlign w:val="center"/>
            <w:hideMark/>
          </w:tcPr>
          <w:p w14:paraId="51CEC678"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4A0D592" w14:textId="77777777">
            <w:r>
              <w:rPr>
                <w:rFonts w:ascii="等线" w:hAnsi="等线" w:eastAsia="等线" w:cs="宋体"/>
                <w:kern w:val="2"/>
                <w:sz w:val="22"/>
                <w:szCs w:val="24"/>
              </w:rPr>
              <w:t>3 (25.0%)</w:t>
            </w:r>
          </w:p>
        </w:tc>
        <w:tc>
          <w:tcPr>
            <w:tcW w:w="0" w:type="auto"/>
            <w:tcMar>
              <w:top w:w="15" w:type="dxa"/>
              <w:left w:w="15" w:type="dxa"/>
              <w:bottom w:w="15" w:type="dxa"/>
              <w:right w:w="15" w:type="dxa"/>
            </w:tcMar>
            <w:vAlign w:val="center"/>
            <w:hideMark/>
          </w:tcPr>
          <w:p w14:paraId="292DEBB3" w14:textId="77777777">
            <w:r>
              <w:rPr>
                <w:rFonts w:ascii="等线" w:hAnsi="等线" w:eastAsia="等线" w:cs="宋体"/>
                <w:kern w:val="2"/>
                <w:sz w:val="22"/>
                <w:szCs w:val="24"/>
              </w:rPr>
              <w:t>7</w:t>
            </w:r>
          </w:p>
        </w:tc>
        <w:tc>
          <w:tcPr>
            <w:tcW w:w="0" w:type="auto"/>
            <w:tcMar>
              <w:top w:w="15" w:type="dxa"/>
              <w:left w:w="15" w:type="dxa"/>
              <w:bottom w:w="15" w:type="dxa"/>
              <w:right w:w="15" w:type="dxa"/>
            </w:tcMar>
            <w:vAlign w:val="center"/>
            <w:hideMark/>
          </w:tcPr>
          <w:p w14:paraId="61B80B91" w14:textId="77777777">
            <w:r>
              <w:rPr>
                <w:rFonts w:ascii="等线" w:hAnsi="等线" w:eastAsia="等线" w:cs="宋体"/>
                <w:kern w:val="2"/>
                <w:sz w:val="22"/>
                <w:szCs w:val="24"/>
              </w:rPr>
              <w:t>7 (23.3%)</w:t>
            </w:r>
          </w:p>
        </w:tc>
      </w:tr>
      <w:tr>
        <w:tc>
          <w:tcPr>
            <w:tcW w:w="0" w:type="auto"/>
            <w:tcMar>
              <w:top w:w="15" w:type="dxa"/>
              <w:left w:w="15" w:type="dxa"/>
              <w:bottom w:w="15" w:type="dxa"/>
              <w:right w:w="15" w:type="dxa"/>
            </w:tcMar>
            <w:vAlign w:val="center"/>
            <w:hideMark/>
          </w:tcPr>
          <w:p w14:paraId="67A11C9D" w14:textId="77777777">
            <w:r>
              <w:rPr>
                <w:rFonts w:ascii="等线" w:hAnsi="等线" w:eastAsia="等线" w:cs="宋体"/>
                <w:kern w:val="2"/>
                <w:sz w:val="22"/>
                <w:szCs w:val="24"/>
              </w:rPr>
              <w:t>腹泻</w:t>
            </w:r>
          </w:p>
        </w:tc>
        <w:tc>
          <w:tcPr>
            <w:tcW w:w="0" w:type="auto"/>
            <w:tcMar>
              <w:top w:w="15" w:type="dxa"/>
              <w:left w:w="15" w:type="dxa"/>
              <w:bottom w:w="15" w:type="dxa"/>
              <w:right w:w="15" w:type="dxa"/>
            </w:tcMar>
            <w:vAlign w:val="center"/>
            <w:hideMark/>
          </w:tcPr>
          <w:p w14:paraId="2AD3A63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49BD35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90757CB"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9BFE082"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0114CC4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5EE36C2"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6EB77E53"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076374B"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22340127"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401D04E4" w14:textId="77777777">
            <w:r>
              <w:rPr>
                <w:rFonts w:ascii="等线" w:hAnsi="等线" w:eastAsia="等线" w:cs="宋体"/>
                <w:kern w:val="2"/>
                <w:sz w:val="22"/>
                <w:szCs w:val="24"/>
              </w:rPr>
              <w:t>3 (10.0%)</w:t>
            </w:r>
          </w:p>
        </w:tc>
      </w:tr>
      <w:tr>
        <w:tc>
          <w:tcPr>
            <w:tcW w:w="0" w:type="auto"/>
            <w:tcMar>
              <w:top w:w="15" w:type="dxa"/>
              <w:left w:w="15" w:type="dxa"/>
              <w:bottom w:w="15" w:type="dxa"/>
              <w:right w:w="15" w:type="dxa"/>
            </w:tcMar>
            <w:vAlign w:val="center"/>
            <w:hideMark/>
          </w:tcPr>
          <w:p w14:paraId="3615F835" w14:textId="77777777">
            <w:r>
              <w:rPr>
                <w:rFonts w:ascii="等线" w:hAnsi="等线" w:eastAsia="等线" w:cs="宋体"/>
                <w:kern w:val="2"/>
                <w:sz w:val="22"/>
                <w:szCs w:val="24"/>
              </w:rPr>
              <w:t>呕吐</w:t>
            </w:r>
          </w:p>
        </w:tc>
        <w:tc>
          <w:tcPr>
            <w:tcW w:w="0" w:type="auto"/>
            <w:tcMar>
              <w:top w:w="15" w:type="dxa"/>
              <w:left w:w="15" w:type="dxa"/>
              <w:bottom w:w="15" w:type="dxa"/>
              <w:right w:w="15" w:type="dxa"/>
            </w:tcMar>
            <w:vAlign w:val="center"/>
            <w:hideMark/>
          </w:tcPr>
          <w:p w14:paraId="03DFCB4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B85CA8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6B7097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6F3CA98"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1AFD5F3"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61AFB5F9"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2CE50479"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68E968D3"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5D6762CF"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62467836"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49F56AEE" w14:textId="77777777">
            <w:r>
              <w:rPr>
                <w:rFonts w:ascii="等线" w:hAnsi="等线" w:eastAsia="等线" w:cs="宋体"/>
                <w:b/>
                <w:bCs/>
                <w:kern w:val="2"/>
                <w:sz w:val="22"/>
                <w:szCs w:val="24"/>
              </w:rPr>
              <w:t>皮肤及皮下组织类疾病</w:t>
            </w:r>
          </w:p>
        </w:tc>
        <w:tc>
          <w:tcPr>
            <w:tcW w:w="0" w:type="auto"/>
            <w:tcMar>
              <w:top w:w="15" w:type="dxa"/>
              <w:left w:w="15" w:type="dxa"/>
              <w:bottom w:w="15" w:type="dxa"/>
              <w:right w:w="15" w:type="dxa"/>
            </w:tcMar>
            <w:vAlign w:val="center"/>
            <w:hideMark/>
          </w:tcPr>
          <w:p w14:paraId="6713F69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3E6E4C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BE47B4B"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75AB887"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0E65C313"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70F973EF" w14:textId="77777777">
            <w:r>
              <w:rPr>
                <w:rFonts w:ascii="等线" w:hAnsi="等线" w:eastAsia="等线" w:cs="宋体"/>
                <w:kern w:val="2"/>
                <w:sz w:val="22"/>
                <w:szCs w:val="24"/>
              </w:rPr>
              <w:t>3 (33.3%)</w:t>
            </w:r>
          </w:p>
        </w:tc>
        <w:tc>
          <w:tcPr>
            <w:tcW w:w="0" w:type="auto"/>
            <w:tcMar>
              <w:top w:w="15" w:type="dxa"/>
              <w:left w:w="15" w:type="dxa"/>
              <w:bottom w:w="15" w:type="dxa"/>
              <w:right w:w="15" w:type="dxa"/>
            </w:tcMar>
            <w:vAlign w:val="center"/>
            <w:hideMark/>
          </w:tcPr>
          <w:p w14:paraId="2CE19555"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652A9AF2" w14:textId="77777777">
            <w:r>
              <w:rPr>
                <w:rFonts w:ascii="等线" w:hAnsi="等线" w:eastAsia="等线" w:cs="宋体"/>
                <w:kern w:val="2"/>
                <w:sz w:val="22"/>
                <w:szCs w:val="24"/>
              </w:rPr>
              <w:t>4 (33.3%)</w:t>
            </w:r>
          </w:p>
        </w:tc>
        <w:tc>
          <w:tcPr>
            <w:tcW w:w="0" w:type="auto"/>
            <w:tcMar>
              <w:top w:w="15" w:type="dxa"/>
              <w:left w:w="15" w:type="dxa"/>
              <w:bottom w:w="15" w:type="dxa"/>
              <w:right w:w="15" w:type="dxa"/>
            </w:tcMar>
            <w:vAlign w:val="center"/>
            <w:hideMark/>
          </w:tcPr>
          <w:p w14:paraId="2E87112E" w14:textId="77777777">
            <w:r>
              <w:rPr>
                <w:rFonts w:ascii="等线" w:hAnsi="等线" w:eastAsia="等线" w:cs="宋体"/>
                <w:kern w:val="2"/>
                <w:sz w:val="22"/>
                <w:szCs w:val="24"/>
              </w:rPr>
              <w:t>10</w:t>
            </w:r>
          </w:p>
        </w:tc>
        <w:tc>
          <w:tcPr>
            <w:tcW w:w="0" w:type="auto"/>
            <w:tcMar>
              <w:top w:w="15" w:type="dxa"/>
              <w:left w:w="15" w:type="dxa"/>
              <w:bottom w:w="15" w:type="dxa"/>
              <w:right w:w="15" w:type="dxa"/>
            </w:tcMar>
            <w:vAlign w:val="center"/>
            <w:hideMark/>
          </w:tcPr>
          <w:p w14:paraId="0EAACE55" w14:textId="77777777">
            <w:r>
              <w:rPr>
                <w:rFonts w:ascii="等线" w:hAnsi="等线" w:eastAsia="等线" w:cs="宋体"/>
                <w:kern w:val="2"/>
                <w:sz w:val="22"/>
                <w:szCs w:val="24"/>
              </w:rPr>
              <w:t>8 (26.7%)</w:t>
            </w:r>
          </w:p>
        </w:tc>
      </w:tr>
      <w:tr>
        <w:tc>
          <w:tcPr>
            <w:tcW w:w="0" w:type="auto"/>
            <w:tcMar>
              <w:top w:w="15" w:type="dxa"/>
              <w:left w:w="15" w:type="dxa"/>
              <w:bottom w:w="15" w:type="dxa"/>
              <w:right w:w="15" w:type="dxa"/>
            </w:tcMar>
            <w:vAlign w:val="center"/>
            <w:hideMark/>
          </w:tcPr>
          <w:p w14:paraId="09DC463A" w14:textId="77777777">
            <w:r>
              <w:rPr>
                <w:rFonts w:ascii="等线" w:hAnsi="等线" w:eastAsia="等线" w:cs="宋体"/>
                <w:kern w:val="2"/>
                <w:sz w:val="22"/>
                <w:szCs w:val="24"/>
              </w:rPr>
              <w:t>皮疹</w:t>
            </w:r>
          </w:p>
        </w:tc>
        <w:tc>
          <w:tcPr>
            <w:tcW w:w="0" w:type="auto"/>
            <w:tcMar>
              <w:top w:w="15" w:type="dxa"/>
              <w:left w:w="15" w:type="dxa"/>
              <w:bottom w:w="15" w:type="dxa"/>
              <w:right w:w="15" w:type="dxa"/>
            </w:tcMar>
            <w:vAlign w:val="center"/>
            <w:hideMark/>
          </w:tcPr>
          <w:p w14:paraId="627ECE4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5BC3DE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19FA508"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48ADCC7"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4E4492F6"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7C6CAF3" w14:textId="77777777">
            <w:r>
              <w:rPr>
                <w:rFonts w:ascii="等线" w:hAnsi="等线" w:eastAsia="等线" w:cs="宋体"/>
                <w:kern w:val="2"/>
                <w:sz w:val="22"/>
                <w:szCs w:val="24"/>
              </w:rPr>
              <w:t>2 (22.2%)</w:t>
            </w:r>
          </w:p>
        </w:tc>
        <w:tc>
          <w:tcPr>
            <w:tcW w:w="0" w:type="auto"/>
            <w:tcMar>
              <w:top w:w="15" w:type="dxa"/>
              <w:left w:w="15" w:type="dxa"/>
              <w:bottom w:w="15" w:type="dxa"/>
              <w:right w:w="15" w:type="dxa"/>
            </w:tcMar>
            <w:vAlign w:val="center"/>
            <w:hideMark/>
          </w:tcPr>
          <w:p w14:paraId="60648F1D"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CD32647" w14:textId="77777777">
            <w:r>
              <w:rPr>
                <w:rFonts w:ascii="等线" w:hAnsi="等线" w:eastAsia="等线" w:cs="宋体"/>
                <w:kern w:val="2"/>
                <w:sz w:val="22"/>
                <w:szCs w:val="24"/>
              </w:rPr>
              <w:t>3 (25.0%)</w:t>
            </w:r>
          </w:p>
        </w:tc>
        <w:tc>
          <w:tcPr>
            <w:tcW w:w="0" w:type="auto"/>
            <w:tcMar>
              <w:top w:w="15" w:type="dxa"/>
              <w:left w:w="15" w:type="dxa"/>
              <w:bottom w:w="15" w:type="dxa"/>
              <w:right w:w="15" w:type="dxa"/>
            </w:tcMar>
            <w:vAlign w:val="center"/>
            <w:hideMark/>
          </w:tcPr>
          <w:p w14:paraId="1B7023FF"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3821BBF0" w14:textId="77777777">
            <w:r>
              <w:rPr>
                <w:rFonts w:ascii="等线" w:hAnsi="等线" w:eastAsia="等线" w:cs="宋体"/>
                <w:kern w:val="2"/>
                <w:sz w:val="22"/>
                <w:szCs w:val="24"/>
              </w:rPr>
              <w:t>6 (20.0%)</w:t>
            </w:r>
          </w:p>
        </w:tc>
      </w:tr>
      <w:tr>
        <w:tc>
          <w:tcPr>
            <w:tcW w:w="0" w:type="auto"/>
            <w:tcMar>
              <w:top w:w="15" w:type="dxa"/>
              <w:left w:w="15" w:type="dxa"/>
              <w:bottom w:w="15" w:type="dxa"/>
              <w:right w:w="15" w:type="dxa"/>
            </w:tcMar>
            <w:vAlign w:val="center"/>
            <w:hideMark/>
          </w:tcPr>
          <w:p w14:paraId="38498A80" w14:textId="77777777">
            <w:r>
              <w:rPr>
                <w:rFonts w:ascii="等线" w:hAnsi="等线" w:eastAsia="等线" w:cs="宋体"/>
                <w:kern w:val="2"/>
                <w:sz w:val="22"/>
                <w:szCs w:val="24"/>
              </w:rPr>
              <w:t>瘙痒</w:t>
            </w:r>
          </w:p>
        </w:tc>
        <w:tc>
          <w:tcPr>
            <w:tcW w:w="0" w:type="auto"/>
            <w:tcMar>
              <w:top w:w="15" w:type="dxa"/>
              <w:left w:w="15" w:type="dxa"/>
              <w:bottom w:w="15" w:type="dxa"/>
              <w:right w:w="15" w:type="dxa"/>
            </w:tcMar>
            <w:vAlign w:val="center"/>
            <w:hideMark/>
          </w:tcPr>
          <w:p w14:paraId="785331C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AA8BBF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63EC5B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134146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5FEED0F"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2FD94326"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3CF1D575"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2496BC60"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45C584AB"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457F6D23"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1693F43A" w14:textId="77777777">
            <w:r>
              <w:rPr>
                <w:rFonts w:ascii="等线" w:hAnsi="等线" w:eastAsia="等线" w:cs="宋体"/>
                <w:b/>
                <w:bCs/>
                <w:kern w:val="2"/>
                <w:sz w:val="22"/>
                <w:szCs w:val="24"/>
              </w:rPr>
              <w:t>各类检查</w:t>
            </w:r>
          </w:p>
        </w:tc>
        <w:tc>
          <w:tcPr>
            <w:tcW w:w="0" w:type="auto"/>
            <w:tcMar>
              <w:top w:w="15" w:type="dxa"/>
              <w:left w:w="15" w:type="dxa"/>
              <w:bottom w:w="15" w:type="dxa"/>
              <w:right w:w="15" w:type="dxa"/>
            </w:tcMar>
            <w:vAlign w:val="center"/>
            <w:hideMark/>
          </w:tcPr>
          <w:p w14:paraId="450D1F2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371CD7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FE489C6"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5D866392" w14:textId="77777777">
            <w:r>
              <w:rPr>
                <w:rFonts w:ascii="等线" w:hAnsi="等线" w:eastAsia="等线" w:cs="宋体"/>
                <w:kern w:val="2"/>
                <w:sz w:val="22"/>
                <w:szCs w:val="24"/>
              </w:rPr>
              <w:t>1 (16.7%</w:t>
            </w:r>
            <w:r>
              <w:rPr>
                <w:rFonts w:ascii="等线" w:hAnsi="等线" w:eastAsia="等线" w:cs="宋体"/>
                <w:kern w:val="2"/>
                <w:sz w:val="22"/>
                <w:szCs w:val="24"/>
              </w:rPr>
              <w:t>)</w:t>
            </w:r>
          </w:p>
        </w:tc>
        <w:tc>
          <w:tcPr>
            <w:tcW w:w="0" w:type="auto"/>
            <w:tcMar>
              <w:top w:w="15" w:type="dxa"/>
              <w:left w:w="15" w:type="dxa"/>
              <w:bottom w:w="15" w:type="dxa"/>
              <w:right w:w="15" w:type="dxa"/>
            </w:tcMar>
            <w:vAlign w:val="center"/>
            <w:hideMark/>
          </w:tcPr>
          <w:p w14:paraId="07A6AE6F" w14:textId="77777777">
            <w:r>
              <w:lastRenderedPageBreak/>
              <w:rPr>
                <w:rFonts w:ascii="等线" w:hAnsi="等线" w:eastAsia="等线" w:cs="宋体"/>
                <w:kern w:val="2"/>
                <w:sz w:val="22"/>
                <w:szCs w:val="24"/>
              </w:rPr>
              <w:t>15</w:t>
            </w:r>
          </w:p>
        </w:tc>
        <w:tc>
          <w:tcPr>
            <w:tcW w:w="0" w:type="auto"/>
            <w:tcMar>
              <w:top w:w="15" w:type="dxa"/>
              <w:left w:w="15" w:type="dxa"/>
              <w:bottom w:w="15" w:type="dxa"/>
              <w:right w:w="15" w:type="dxa"/>
            </w:tcMar>
            <w:vAlign w:val="center"/>
            <w:hideMark/>
          </w:tcPr>
          <w:p w14:paraId="207E9C5D" w14:textId="77777777">
            <w:r>
              <w:rPr>
                <w:rFonts w:ascii="等线" w:hAnsi="等线" w:eastAsia="等线" w:cs="宋体"/>
                <w:kern w:val="2"/>
                <w:sz w:val="22"/>
                <w:szCs w:val="24"/>
              </w:rPr>
              <w:t>7 (77.8%</w:t>
            </w:r>
            <w:r>
              <w:rPr>
                <w:rFonts w:ascii="等线" w:hAnsi="等线" w:eastAsia="等线" w:cs="宋体"/>
                <w:kern w:val="2"/>
                <w:sz w:val="22"/>
                <w:szCs w:val="24"/>
              </w:rPr>
              <w:t>)</w:t>
            </w:r>
          </w:p>
        </w:tc>
        <w:tc>
          <w:tcPr>
            <w:tcW w:w="0" w:type="auto"/>
            <w:tcMar>
              <w:top w:w="15" w:type="dxa"/>
              <w:left w:w="15" w:type="dxa"/>
              <w:bottom w:w="15" w:type="dxa"/>
              <w:right w:w="15" w:type="dxa"/>
            </w:tcMar>
            <w:vAlign w:val="center"/>
            <w:hideMark/>
          </w:tcPr>
          <w:p w14:paraId="34414C91" w14:textId="77777777">
            <w:r>
              <w:lastRenderedPageBreak/>
              <w:rPr>
                <w:rFonts w:ascii="等线" w:hAnsi="等线" w:eastAsia="等线" w:cs="宋体"/>
                <w:kern w:val="2"/>
                <w:sz w:val="22"/>
                <w:szCs w:val="24"/>
              </w:rPr>
              <w:t>19</w:t>
            </w:r>
          </w:p>
        </w:tc>
        <w:tc>
          <w:tcPr>
            <w:tcW w:w="0" w:type="auto"/>
            <w:tcMar>
              <w:top w:w="15" w:type="dxa"/>
              <w:left w:w="15" w:type="dxa"/>
              <w:bottom w:w="15" w:type="dxa"/>
              <w:right w:w="15" w:type="dxa"/>
            </w:tcMar>
            <w:vAlign w:val="center"/>
            <w:hideMark/>
          </w:tcPr>
          <w:p w14:paraId="482313AB" w14:textId="77777777">
            <w:r>
              <w:rPr>
                <w:rFonts w:ascii="等线" w:hAnsi="等线" w:eastAsia="等线" w:cs="宋体"/>
                <w:kern w:val="2"/>
                <w:sz w:val="22"/>
                <w:szCs w:val="24"/>
              </w:rPr>
              <w:t>8 (66.7%</w:t>
            </w:r>
            <w:r>
              <w:rPr>
                <w:rFonts w:ascii="等线" w:hAnsi="等线" w:eastAsia="等线" w:cs="宋体"/>
                <w:kern w:val="2"/>
                <w:sz w:val="22"/>
                <w:szCs w:val="24"/>
              </w:rPr>
              <w:t>)</w:t>
            </w:r>
          </w:p>
        </w:tc>
        <w:tc>
          <w:tcPr>
            <w:tcW w:w="0" w:type="auto"/>
            <w:tcMar>
              <w:top w:w="15" w:type="dxa"/>
              <w:left w:w="15" w:type="dxa"/>
              <w:bottom w:w="15" w:type="dxa"/>
              <w:right w:w="15" w:type="dxa"/>
            </w:tcMar>
            <w:vAlign w:val="center"/>
            <w:hideMark/>
          </w:tcPr>
          <w:p w14:paraId="04B65B6B" w14:textId="77777777">
            <w:r>
              <w:lastRenderedPageBreak/>
              <w:rPr>
                <w:rFonts w:ascii="等线" w:hAnsi="等线" w:eastAsia="等线" w:cs="宋体"/>
                <w:kern w:val="2"/>
                <w:sz w:val="22"/>
                <w:szCs w:val="24"/>
              </w:rPr>
              <w:t>35</w:t>
            </w:r>
          </w:p>
        </w:tc>
        <w:tc>
          <w:tcPr>
            <w:tcW w:w="0" w:type="auto"/>
            <w:tcMar>
              <w:top w:w="15" w:type="dxa"/>
              <w:left w:w="15" w:type="dxa"/>
              <w:bottom w:w="15" w:type="dxa"/>
              <w:right w:w="15" w:type="dxa"/>
            </w:tcMar>
            <w:vAlign w:val="center"/>
            <w:hideMark/>
          </w:tcPr>
          <w:p w14:paraId="62DDD89B" w14:textId="77777777">
            <w:r>
              <w:rPr>
                <w:rFonts w:ascii="等线" w:hAnsi="等线" w:eastAsia="等线" w:cs="宋体"/>
                <w:kern w:val="2"/>
                <w:sz w:val="22"/>
                <w:szCs w:val="24"/>
              </w:rPr>
              <w:t>16 (53.3%</w:t>
            </w:r>
            <w:r>
              <w:rPr>
                <w:rFonts w:ascii="等线" w:hAnsi="等线" w:eastAsia="等线" w:cs="宋体"/>
                <w:kern w:val="2"/>
                <w:sz w:val="22"/>
                <w:szCs w:val="24"/>
              </w:rPr>
              <w:t>)</w:t>
            </w:r>
          </w:p>
        </w:tc>
      </w:tr>
      <w:tr>
        <w:tc>
          <w:tcPr>
            <w:tcW w:w="0" w:type="auto"/>
            <w:tcMar>
              <w:top w:w="15" w:type="dxa"/>
              <w:left w:w="15" w:type="dxa"/>
              <w:bottom w:w="15" w:type="dxa"/>
              <w:right w:w="15" w:type="dxa"/>
            </w:tcMar>
            <w:vAlign w:val="center"/>
            <w:hideMark/>
          </w:tcPr>
          <w:p w14:paraId="68302166" w14:textId="77777777">
            <w:r>
              <w:lastRenderedPageBreak/>
              <w:rPr>
                <w:rFonts w:ascii="等线" w:hAnsi="等线" w:eastAsia="等线" w:cs="宋体"/>
                <w:kern w:val="2"/>
                <w:sz w:val="22"/>
                <w:szCs w:val="24"/>
              </w:rPr>
              <w:t>丙氨酸氨基转移酶升高</w:t>
            </w:r>
          </w:p>
        </w:tc>
        <w:tc>
          <w:tcPr>
            <w:tcW w:w="0" w:type="auto"/>
            <w:tcMar>
              <w:top w:w="15" w:type="dxa"/>
              <w:left w:w="15" w:type="dxa"/>
              <w:bottom w:w="15" w:type="dxa"/>
              <w:right w:w="15" w:type="dxa"/>
            </w:tcMar>
            <w:vAlign w:val="center"/>
            <w:hideMark/>
          </w:tcPr>
          <w:p w14:paraId="197E306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912C96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0C5A8A0"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9E2AFAF"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487A90D6"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11332E4"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789423CD"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662E5A8B" w14:textId="77777777">
            <w:r>
              <w:rPr>
                <w:rFonts w:ascii="等线" w:hAnsi="等线" w:eastAsia="等线" w:cs="宋体"/>
                <w:kern w:val="2"/>
                <w:sz w:val="22"/>
                <w:szCs w:val="24"/>
              </w:rPr>
              <w:t>2 (16.7%)</w:t>
            </w:r>
          </w:p>
        </w:tc>
        <w:tc>
          <w:tcPr>
            <w:tcW w:w="0" w:type="auto"/>
            <w:tcMar>
              <w:top w:w="15" w:type="dxa"/>
              <w:left w:w="15" w:type="dxa"/>
              <w:bottom w:w="15" w:type="dxa"/>
              <w:right w:w="15" w:type="dxa"/>
            </w:tcMar>
            <w:vAlign w:val="center"/>
            <w:hideMark/>
          </w:tcPr>
          <w:p w14:paraId="1B547611"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12422F6A" w14:textId="77777777">
            <w:r>
              <w:rPr>
                <w:rFonts w:ascii="等线" w:hAnsi="等线" w:eastAsia="等线" w:cs="宋体"/>
                <w:kern w:val="2"/>
                <w:sz w:val="22"/>
                <w:szCs w:val="24"/>
              </w:rPr>
              <w:t>4 (13.3%)</w:t>
            </w:r>
          </w:p>
        </w:tc>
      </w:tr>
      <w:tr>
        <w:tc>
          <w:tcPr>
            <w:tcW w:w="0" w:type="auto"/>
            <w:tcMar>
              <w:top w:w="15" w:type="dxa"/>
              <w:left w:w="15" w:type="dxa"/>
              <w:bottom w:w="15" w:type="dxa"/>
              <w:right w:w="15" w:type="dxa"/>
            </w:tcMar>
            <w:vAlign w:val="center"/>
            <w:hideMark/>
          </w:tcPr>
          <w:p w14:paraId="756B2814" w14:textId="77777777">
            <w:r>
              <w:rPr>
                <w:rFonts w:ascii="等线" w:hAnsi="等线" w:eastAsia="等线" w:cs="宋体"/>
                <w:kern w:val="2"/>
                <w:sz w:val="22"/>
                <w:szCs w:val="24"/>
              </w:rPr>
              <w:t>天门冬氨酸氨基转移酶升高</w:t>
            </w:r>
          </w:p>
        </w:tc>
        <w:tc>
          <w:tcPr>
            <w:tcW w:w="0" w:type="auto"/>
            <w:tcMar>
              <w:top w:w="15" w:type="dxa"/>
              <w:left w:w="15" w:type="dxa"/>
              <w:bottom w:w="15" w:type="dxa"/>
              <w:right w:w="15" w:type="dxa"/>
            </w:tcMar>
            <w:vAlign w:val="center"/>
            <w:hideMark/>
          </w:tcPr>
          <w:p w14:paraId="2AED87E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584179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788DD4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89EEC0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3D28C15"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4F54E7E8"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75186CD"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5DAD1FF1"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55AF469A" w14:textId="77777777">
            <w:r>
              <w:rPr>
                <w:rFonts w:ascii="等线" w:hAnsi="等线" w:eastAsia="等线" w:cs="宋体"/>
                <w:kern w:val="2"/>
                <w:sz w:val="22"/>
                <w:szCs w:val="24"/>
              </w:rPr>
              <w:t>8</w:t>
            </w:r>
          </w:p>
        </w:tc>
        <w:tc>
          <w:tcPr>
            <w:tcW w:w="0" w:type="auto"/>
            <w:tcMar>
              <w:top w:w="15" w:type="dxa"/>
              <w:left w:w="15" w:type="dxa"/>
              <w:bottom w:w="15" w:type="dxa"/>
              <w:right w:w="15" w:type="dxa"/>
            </w:tcMar>
            <w:vAlign w:val="center"/>
            <w:hideMark/>
          </w:tcPr>
          <w:p w14:paraId="40346AEC"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523A909A" w14:textId="77777777">
            <w:r>
              <w:rPr>
                <w:rFonts w:ascii="等线" w:hAnsi="等线" w:eastAsia="等线" w:cs="宋体"/>
                <w:kern w:val="2"/>
                <w:sz w:val="22"/>
                <w:szCs w:val="24"/>
              </w:rPr>
              <w:t>γ-谷氨酰转移酶升高</w:t>
            </w:r>
          </w:p>
        </w:tc>
        <w:tc>
          <w:tcPr>
            <w:tcW w:w="0" w:type="auto"/>
            <w:tcMar>
              <w:top w:w="15" w:type="dxa"/>
              <w:left w:w="15" w:type="dxa"/>
              <w:bottom w:w="15" w:type="dxa"/>
              <w:right w:w="15" w:type="dxa"/>
            </w:tcMar>
            <w:vAlign w:val="center"/>
            <w:hideMark/>
          </w:tcPr>
          <w:p w14:paraId="2BCA577C"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C8B0D5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D8B553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54FEE1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66D2E5D"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75986925"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73069598"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5EA5CA73"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19547CB7"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59413146"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31C64F7A" w14:textId="77777777">
            <w:r>
              <w:rPr>
                <w:rFonts w:ascii="等线" w:hAnsi="等线" w:eastAsia="等线" w:cs="宋体"/>
                <w:kern w:val="2"/>
                <w:sz w:val="22"/>
                <w:szCs w:val="24"/>
              </w:rPr>
              <w:t>血胆红素升高</w:t>
            </w:r>
          </w:p>
        </w:tc>
        <w:tc>
          <w:tcPr>
            <w:tcW w:w="0" w:type="auto"/>
            <w:tcMar>
              <w:top w:w="15" w:type="dxa"/>
              <w:left w:w="15" w:type="dxa"/>
              <w:bottom w:w="15" w:type="dxa"/>
              <w:right w:w="15" w:type="dxa"/>
            </w:tcMar>
            <w:vAlign w:val="center"/>
            <w:hideMark/>
          </w:tcPr>
          <w:p w14:paraId="1FE3BDC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EF47FE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4DC212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BF1AE3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1B538EA"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055470B"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52934943"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776E6820"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619D9D31"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76A44D85"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3DBDE83D" w14:textId="77777777">
            <w:r>
              <w:rPr>
                <w:rFonts w:ascii="等线" w:hAnsi="等线" w:eastAsia="等线" w:cs="宋体"/>
                <w:kern w:val="2"/>
                <w:sz w:val="22"/>
                <w:szCs w:val="24"/>
              </w:rPr>
              <w:t>促甲状腺激素升高</w:t>
            </w:r>
          </w:p>
        </w:tc>
        <w:tc>
          <w:tcPr>
            <w:tcW w:w="0" w:type="auto"/>
            <w:tcMar>
              <w:top w:w="15" w:type="dxa"/>
              <w:left w:w="15" w:type="dxa"/>
              <w:bottom w:w="15" w:type="dxa"/>
              <w:right w:w="15" w:type="dxa"/>
            </w:tcMar>
            <w:vAlign w:val="center"/>
            <w:hideMark/>
          </w:tcPr>
          <w:p w14:paraId="398333A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960FF5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9312BA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E64D7E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DBC574B"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D6DBAED"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5A8F868"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3E4E6D3F"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61C1DDF4"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656CD233"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2539DE9F" w14:textId="77777777">
            <w:r>
              <w:rPr>
                <w:rFonts w:ascii="等线" w:hAnsi="等线" w:eastAsia="等线" w:cs="宋体"/>
                <w:kern w:val="2"/>
                <w:sz w:val="22"/>
                <w:szCs w:val="24"/>
              </w:rPr>
              <w:t>白细胞计数降低</w:t>
            </w:r>
          </w:p>
        </w:tc>
        <w:tc>
          <w:tcPr>
            <w:tcW w:w="0" w:type="auto"/>
            <w:tcMar>
              <w:top w:w="15" w:type="dxa"/>
              <w:left w:w="15" w:type="dxa"/>
              <w:bottom w:w="15" w:type="dxa"/>
              <w:right w:w="15" w:type="dxa"/>
            </w:tcMar>
            <w:vAlign w:val="center"/>
            <w:hideMark/>
          </w:tcPr>
          <w:p w14:paraId="381E482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CC2406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32D998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7673E9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ED8CDF7"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E6275E4"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62517AA7"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6ADB35CD"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76ABF134"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3D516249"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500F90B8" w14:textId="77777777">
            <w:r>
              <w:rPr>
                <w:rFonts w:ascii="等线" w:hAnsi="等线" w:eastAsia="等线" w:cs="宋体"/>
                <w:kern w:val="2"/>
                <w:sz w:val="22"/>
                <w:szCs w:val="24"/>
              </w:rPr>
              <w:t>中性粒细胞计数降低</w:t>
            </w:r>
          </w:p>
        </w:tc>
        <w:tc>
          <w:tcPr>
            <w:tcW w:w="0" w:type="auto"/>
            <w:tcMar>
              <w:top w:w="15" w:type="dxa"/>
              <w:left w:w="15" w:type="dxa"/>
              <w:bottom w:w="15" w:type="dxa"/>
              <w:right w:w="15" w:type="dxa"/>
            </w:tcMar>
            <w:vAlign w:val="center"/>
            <w:hideMark/>
          </w:tcPr>
          <w:p w14:paraId="002FB9B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1F35C6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02D59A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6D5294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A9E02FA"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AE51DC5"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32B3C617"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5C32AAF"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1B495C9C"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687288C3"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4452CA23" w14:textId="77777777">
            <w:r>
              <w:rPr>
                <w:rFonts w:ascii="等线" w:hAnsi="等线" w:eastAsia="等线" w:cs="宋体"/>
                <w:b/>
                <w:bCs/>
                <w:kern w:val="2"/>
                <w:sz w:val="22"/>
                <w:szCs w:val="24"/>
              </w:rPr>
              <w:t>内分泌系统疾病</w:t>
            </w:r>
          </w:p>
        </w:tc>
        <w:tc>
          <w:tcPr>
            <w:tcW w:w="0" w:type="auto"/>
            <w:tcMar>
              <w:top w:w="15" w:type="dxa"/>
              <w:left w:w="15" w:type="dxa"/>
              <w:bottom w:w="15" w:type="dxa"/>
              <w:right w:w="15" w:type="dxa"/>
            </w:tcMar>
            <w:vAlign w:val="center"/>
            <w:hideMark/>
          </w:tcPr>
          <w:p w14:paraId="372173A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95EF72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B3C8E6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0D30BDB9"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21EB18A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531EA712"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59FC51E7"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FDEE821"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657C1254"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63D80046" w14:textId="77777777">
            <w:r>
              <w:rPr>
                <w:rFonts w:ascii="等线" w:hAnsi="等线" w:eastAsia="等线" w:cs="宋体"/>
                <w:kern w:val="2"/>
                <w:sz w:val="22"/>
                <w:szCs w:val="24"/>
              </w:rPr>
              <w:t>3 (10.0%)</w:t>
            </w:r>
          </w:p>
        </w:tc>
      </w:tr>
      <w:tr>
        <w:tc>
          <w:tcPr>
            <w:tcW w:w="0" w:type="auto"/>
            <w:tcMar>
              <w:top w:w="15" w:type="dxa"/>
              <w:left w:w="15" w:type="dxa"/>
              <w:bottom w:w="15" w:type="dxa"/>
              <w:right w:w="15" w:type="dxa"/>
            </w:tcMar>
            <w:vAlign w:val="center"/>
            <w:hideMark/>
          </w:tcPr>
          <w:p w14:paraId="46DCFAAF" w14:textId="77777777">
            <w:r>
              <w:lastRenderedPageBreak/>
              <w:rPr>
                <w:rFonts w:ascii="等线" w:hAnsi="等线" w:eastAsia="等线" w:cs="宋体"/>
                <w:kern w:val="2"/>
                <w:sz w:val="22"/>
                <w:szCs w:val="24"/>
              </w:rPr>
              <w:t>甲状腺功能减退症</w:t>
            </w:r>
          </w:p>
        </w:tc>
        <w:tc>
          <w:tcPr>
            <w:tcW w:w="0" w:type="auto"/>
            <w:tcMar>
              <w:top w:w="15" w:type="dxa"/>
              <w:left w:w="15" w:type="dxa"/>
              <w:bottom w:w="15" w:type="dxa"/>
              <w:right w:w="15" w:type="dxa"/>
            </w:tcMar>
            <w:vAlign w:val="center"/>
            <w:hideMark/>
          </w:tcPr>
          <w:p w14:paraId="2689F76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5E4C62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49234DD"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7802B755"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1B4028C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0769E9C3"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539948B"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0D043C8A"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76933BC4"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968D2E8" w14:textId="77777777">
            <w:r>
              <w:rPr>
                <w:rFonts w:ascii="等线" w:hAnsi="等线" w:eastAsia="等线" w:cs="宋体"/>
                <w:kern w:val="2"/>
                <w:sz w:val="22"/>
                <w:szCs w:val="24"/>
              </w:rPr>
              <w:t>3 (10.0%)</w:t>
            </w:r>
          </w:p>
        </w:tc>
      </w:tr>
      <w:tr>
        <w:tc>
          <w:tcPr>
            <w:tcW w:w="0" w:type="auto"/>
            <w:tcMar>
              <w:top w:w="15" w:type="dxa"/>
              <w:left w:w="15" w:type="dxa"/>
              <w:bottom w:w="15" w:type="dxa"/>
              <w:right w:w="15" w:type="dxa"/>
            </w:tcMar>
            <w:vAlign w:val="center"/>
            <w:hideMark/>
          </w:tcPr>
          <w:p w14:paraId="799D15D6" w14:textId="77777777">
            <w:r>
              <w:rPr>
                <w:rFonts w:ascii="等线" w:hAnsi="等线" w:eastAsia="等线" w:cs="宋体"/>
                <w:b/>
                <w:bCs/>
                <w:kern w:val="2"/>
                <w:sz w:val="22"/>
                <w:szCs w:val="24"/>
              </w:rPr>
              <w:t>感染及</w:t>
            </w:r>
            <w:r>
              <w:rPr>
                <w:rFonts w:ascii="等线" w:hAnsi="等线" w:eastAsia="等线" w:cs="宋体"/>
                <w:b/>
                <w:bCs/>
                <w:kern w:val="2"/>
                <w:sz w:val="22"/>
                <w:szCs w:val="24"/>
              </w:rPr>
              <w:t>侵染</w:t>
            </w:r>
            <w:r>
              <w:rPr>
                <w:rFonts w:ascii="等线" w:hAnsi="等线" w:eastAsia="等线" w:cs="宋体"/>
                <w:b/>
                <w:bCs/>
                <w:kern w:val="2"/>
                <w:sz w:val="22"/>
                <w:szCs w:val="24"/>
              </w:rPr>
              <w:t>类疾病</w:t>
            </w:r>
          </w:p>
        </w:tc>
        <w:tc>
          <w:tcPr>
            <w:tcW w:w="0" w:type="auto"/>
            <w:tcMar>
              <w:top w:w="15" w:type="dxa"/>
              <w:left w:w="15" w:type="dxa"/>
              <w:bottom w:w="15" w:type="dxa"/>
              <w:right w:w="15" w:type="dxa"/>
            </w:tcMar>
            <w:vAlign w:val="center"/>
            <w:hideMark/>
          </w:tcPr>
          <w:p w14:paraId="1A5BB9B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BEF740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C42D0E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A55667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948CBAE"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8BAB3FE"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1D97F2B0"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946147D"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408CF559"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7AAD2D6C"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0730F5E4" w14:textId="77777777">
            <w:r>
              <w:rPr>
                <w:rFonts w:ascii="等线" w:hAnsi="等线" w:eastAsia="等线" w:cs="宋体"/>
                <w:kern w:val="2"/>
                <w:sz w:val="22"/>
                <w:szCs w:val="24"/>
              </w:rPr>
              <w:t>感染性肺炎</w:t>
            </w:r>
          </w:p>
        </w:tc>
        <w:tc>
          <w:tcPr>
            <w:tcW w:w="0" w:type="auto"/>
            <w:tcMar>
              <w:top w:w="15" w:type="dxa"/>
              <w:left w:w="15" w:type="dxa"/>
              <w:bottom w:w="15" w:type="dxa"/>
              <w:right w:w="15" w:type="dxa"/>
            </w:tcMar>
            <w:vAlign w:val="center"/>
            <w:hideMark/>
          </w:tcPr>
          <w:p w14:paraId="7C55E75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698172C"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3BDB97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081EDB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3886DC0"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3E73F7B"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397B3EA1"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81E8460"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55C9213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200BA8ED"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414A4D34" w14:textId="77777777">
            <w:r>
              <w:rPr>
                <w:rFonts w:ascii="等线" w:hAnsi="等线" w:eastAsia="等线" w:cs="宋体"/>
                <w:b/>
                <w:bCs/>
                <w:kern w:val="2"/>
                <w:sz w:val="22"/>
                <w:szCs w:val="24"/>
              </w:rPr>
              <w:t>肝胆系统疾病</w:t>
            </w:r>
          </w:p>
        </w:tc>
        <w:tc>
          <w:tcPr>
            <w:tcW w:w="0" w:type="auto"/>
            <w:tcMar>
              <w:top w:w="15" w:type="dxa"/>
              <w:left w:w="15" w:type="dxa"/>
              <w:bottom w:w="15" w:type="dxa"/>
              <w:right w:w="15" w:type="dxa"/>
            </w:tcMar>
            <w:vAlign w:val="center"/>
            <w:hideMark/>
          </w:tcPr>
          <w:p w14:paraId="5A808FC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11938A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F9F840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599228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ECED6B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010B29B"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BA0A2A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C8C98F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8D418D7"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BC9A7ED" w14:textId="77777777">
            <w:r>
              <w:rPr>
                <w:rFonts w:ascii="等线" w:hAnsi="等线" w:eastAsia="等线" w:cs="宋体"/>
                <w:kern w:val="2"/>
                <w:sz w:val="22"/>
                <w:szCs w:val="24"/>
              </w:rPr>
              <w:t>1 (3.3%)</w:t>
            </w:r>
          </w:p>
        </w:tc>
      </w:tr>
      <w:tr>
        <w:tc>
          <w:tcPr>
            <w:tcW w:w="0" w:type="auto"/>
            <w:tcMar>
              <w:top w:w="15" w:type="dxa"/>
              <w:left w:w="15" w:type="dxa"/>
              <w:bottom w:w="15" w:type="dxa"/>
              <w:right w:w="15" w:type="dxa"/>
            </w:tcMar>
            <w:vAlign w:val="center"/>
            <w:hideMark/>
          </w:tcPr>
          <w:p w14:paraId="4609FB85" w14:textId="77777777">
            <w:r>
              <w:rPr>
                <w:rFonts w:ascii="等线" w:hAnsi="等线" w:eastAsia="等线" w:cs="宋体"/>
                <w:kern w:val="2"/>
                <w:sz w:val="22"/>
                <w:szCs w:val="24"/>
              </w:rPr>
              <w:t>药物诱导的肝损伤</w:t>
            </w:r>
          </w:p>
        </w:tc>
        <w:tc>
          <w:tcPr>
            <w:tcW w:w="0" w:type="auto"/>
            <w:tcMar>
              <w:top w:w="15" w:type="dxa"/>
              <w:left w:w="15" w:type="dxa"/>
              <w:bottom w:w="15" w:type="dxa"/>
              <w:right w:w="15" w:type="dxa"/>
            </w:tcMar>
            <w:vAlign w:val="center"/>
            <w:hideMark/>
          </w:tcPr>
          <w:p w14:paraId="0803014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65499B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69AFA8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2899AC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402C12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8B96D68"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CA7000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DB7FC4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657234A"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7F1978A" w14:textId="77777777">
            <w:r>
              <w:rPr>
                <w:rFonts w:ascii="等线" w:hAnsi="等线" w:eastAsia="等线" w:cs="宋体"/>
                <w:kern w:val="2"/>
                <w:sz w:val="22"/>
                <w:szCs w:val="24"/>
              </w:rPr>
              <w:t>1 (3.3%)</w:t>
            </w:r>
          </w:p>
        </w:tc>
      </w:tr>
      <w:tr>
        <w:tc>
          <w:tcPr>
            <w:tcW w:w="0" w:type="auto"/>
            <w:tcMar>
              <w:top w:w="15" w:type="dxa"/>
              <w:left w:w="15" w:type="dxa"/>
              <w:bottom w:w="15" w:type="dxa"/>
              <w:right w:w="15" w:type="dxa"/>
            </w:tcMar>
            <w:vAlign w:val="center"/>
            <w:hideMark/>
          </w:tcPr>
          <w:p w14:paraId="500279BE" w14:textId="77777777">
            <w:r>
              <w:rPr>
                <w:rFonts w:ascii="等线" w:hAnsi="等线" w:eastAsia="等线" w:cs="宋体"/>
                <w:b/>
                <w:bCs/>
                <w:kern w:val="2"/>
                <w:sz w:val="22"/>
                <w:szCs w:val="24"/>
              </w:rPr>
              <w:t>呼吸系统、胸及</w:t>
            </w:r>
            <w:r>
              <w:rPr>
                <w:rFonts w:ascii="等线" w:hAnsi="等线" w:eastAsia="等线" w:cs="宋体"/>
                <w:b/>
                <w:bCs/>
                <w:kern w:val="2"/>
                <w:sz w:val="22"/>
                <w:szCs w:val="24"/>
              </w:rPr>
              <w:t>纵隔</w:t>
            </w:r>
            <w:r>
              <w:rPr>
                <w:rFonts w:ascii="等线" w:hAnsi="等线" w:eastAsia="等线" w:cs="宋体"/>
                <w:b/>
                <w:bCs/>
                <w:kern w:val="2"/>
                <w:sz w:val="22"/>
                <w:szCs w:val="24"/>
              </w:rPr>
              <w:t>疾病</w:t>
            </w:r>
          </w:p>
        </w:tc>
        <w:tc>
          <w:tcPr>
            <w:tcW w:w="0" w:type="auto"/>
            <w:tcMar>
              <w:top w:w="15" w:type="dxa"/>
              <w:left w:w="15" w:type="dxa"/>
              <w:bottom w:w="15" w:type="dxa"/>
              <w:right w:w="15" w:type="dxa"/>
            </w:tcMar>
            <w:vAlign w:val="center"/>
            <w:hideMark/>
          </w:tcPr>
          <w:p w14:paraId="0A055E7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B06D3E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FFC0D6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399E82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26BF68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2DEB658"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15064B7A"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2D8A4450"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2C6B855C"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3E7DB29"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15213B1C" w14:textId="77777777">
            <w:r>
              <w:rPr>
                <w:rFonts w:ascii="等线" w:hAnsi="等线" w:eastAsia="等线" w:cs="宋体"/>
                <w:kern w:val="2"/>
                <w:sz w:val="22"/>
                <w:szCs w:val="24"/>
              </w:rPr>
              <w:t>间质性肺疾病</w:t>
            </w:r>
          </w:p>
        </w:tc>
        <w:tc>
          <w:tcPr>
            <w:tcW w:w="0" w:type="auto"/>
            <w:tcMar>
              <w:top w:w="15" w:type="dxa"/>
              <w:left w:w="15" w:type="dxa"/>
              <w:bottom w:w="15" w:type="dxa"/>
              <w:right w:w="15" w:type="dxa"/>
            </w:tcMar>
            <w:vAlign w:val="center"/>
            <w:hideMark/>
          </w:tcPr>
          <w:p w14:paraId="36E564FC"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95FD9C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D32BD6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E97DF0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3549AA9"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FBE345C"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6EEBADF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27F0426"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3DCF1107"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BCD109C"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3118D0DE" w14:textId="77777777">
            <w:r>
              <w:rPr>
                <w:rFonts w:ascii="等线" w:hAnsi="等线" w:eastAsia="等线" w:cs="宋体"/>
                <w:b/>
                <w:bCs/>
                <w:kern w:val="2"/>
                <w:sz w:val="22"/>
                <w:szCs w:val="24"/>
              </w:rPr>
              <w:t>代谢及营养类疾病</w:t>
            </w:r>
          </w:p>
        </w:tc>
        <w:tc>
          <w:tcPr>
            <w:tcW w:w="0" w:type="auto"/>
            <w:tcMar>
              <w:top w:w="15" w:type="dxa"/>
              <w:left w:w="15" w:type="dxa"/>
              <w:bottom w:w="15" w:type="dxa"/>
              <w:right w:w="15" w:type="dxa"/>
            </w:tcMar>
            <w:vAlign w:val="center"/>
            <w:hideMark/>
          </w:tcPr>
          <w:p w14:paraId="2011950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D8E6F0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C473332"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1283C71B" w14:textId="77777777">
            <w:r>
              <w:rPr>
                <w:rFonts w:ascii="等线" w:hAnsi="等线" w:eastAsia="等线" w:cs="宋体"/>
                <w:kern w:val="2"/>
                <w:sz w:val="22"/>
                <w:szCs w:val="24"/>
              </w:rPr>
              <w:t>2 (33.3%)</w:t>
            </w:r>
          </w:p>
        </w:tc>
        <w:tc>
          <w:tcPr>
            <w:tcW w:w="0" w:type="auto"/>
            <w:tcMar>
              <w:top w:w="15" w:type="dxa"/>
              <w:left w:w="15" w:type="dxa"/>
              <w:bottom w:w="15" w:type="dxa"/>
              <w:right w:w="15" w:type="dxa"/>
            </w:tcMar>
            <w:vAlign w:val="center"/>
            <w:hideMark/>
          </w:tcPr>
          <w:p w14:paraId="647A044A"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8036E8A"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76B46DEF" w14:textId="77777777">
            <w:r>
              <w:rPr>
                <w:rFonts w:ascii="等线" w:hAnsi="等线" w:eastAsia="等线" w:cs="宋体"/>
                <w:kern w:val="2"/>
                <w:sz w:val="22"/>
                <w:szCs w:val="24"/>
              </w:rPr>
              <w:t>8</w:t>
            </w:r>
          </w:p>
        </w:tc>
        <w:tc>
          <w:tcPr>
            <w:tcW w:w="0" w:type="auto"/>
            <w:tcMar>
              <w:top w:w="15" w:type="dxa"/>
              <w:left w:w="15" w:type="dxa"/>
              <w:bottom w:w="15" w:type="dxa"/>
              <w:right w:w="15" w:type="dxa"/>
            </w:tcMar>
            <w:vAlign w:val="center"/>
            <w:hideMark/>
          </w:tcPr>
          <w:p w14:paraId="02EA66CF" w14:textId="77777777">
            <w:r>
              <w:rPr>
                <w:rFonts w:ascii="等线" w:hAnsi="等线" w:eastAsia="等线" w:cs="宋体"/>
                <w:kern w:val="2"/>
                <w:sz w:val="22"/>
                <w:szCs w:val="24"/>
              </w:rPr>
              <w:t>3 (25.0%)</w:t>
            </w:r>
          </w:p>
        </w:tc>
        <w:tc>
          <w:tcPr>
            <w:tcW w:w="0" w:type="auto"/>
            <w:tcMar>
              <w:top w:w="15" w:type="dxa"/>
              <w:left w:w="15" w:type="dxa"/>
              <w:bottom w:w="15" w:type="dxa"/>
              <w:right w:w="15" w:type="dxa"/>
            </w:tcMar>
            <w:vAlign w:val="center"/>
            <w:hideMark/>
          </w:tcPr>
          <w:p w14:paraId="7576C5C6" w14:textId="77777777">
            <w:r>
              <w:rPr>
                <w:rFonts w:ascii="等线" w:hAnsi="等线" w:eastAsia="等线" w:cs="宋体"/>
                <w:kern w:val="2"/>
                <w:sz w:val="22"/>
                <w:szCs w:val="24"/>
              </w:rPr>
              <w:t>13</w:t>
            </w:r>
          </w:p>
        </w:tc>
        <w:tc>
          <w:tcPr>
            <w:tcW w:w="0" w:type="auto"/>
            <w:tcMar>
              <w:top w:w="15" w:type="dxa"/>
              <w:left w:w="15" w:type="dxa"/>
              <w:bottom w:w="15" w:type="dxa"/>
              <w:right w:w="15" w:type="dxa"/>
            </w:tcMar>
            <w:vAlign w:val="center"/>
            <w:hideMark/>
          </w:tcPr>
          <w:p w14:paraId="688E2E12" w14:textId="77777777">
            <w:r>
              <w:rPr>
                <w:rFonts w:ascii="等线" w:hAnsi="等线" w:eastAsia="等线" w:cs="宋体"/>
                <w:kern w:val="2"/>
                <w:sz w:val="22"/>
                <w:szCs w:val="24"/>
              </w:rPr>
              <w:t>6 (20.0%)</w:t>
            </w:r>
          </w:p>
        </w:tc>
      </w:tr>
      <w:tr>
        <w:tc>
          <w:tcPr>
            <w:tcW w:w="0" w:type="auto"/>
            <w:tcMar>
              <w:top w:w="15" w:type="dxa"/>
              <w:left w:w="15" w:type="dxa"/>
              <w:bottom w:w="15" w:type="dxa"/>
              <w:right w:w="15" w:type="dxa"/>
            </w:tcMar>
            <w:vAlign w:val="center"/>
            <w:hideMark/>
          </w:tcPr>
          <w:p w14:paraId="252EDAB7" w14:textId="77777777">
            <w:r>
              <w:rPr>
                <w:rFonts w:ascii="等线" w:hAnsi="等线" w:eastAsia="等线" w:cs="宋体"/>
                <w:kern w:val="2"/>
                <w:sz w:val="22"/>
                <w:szCs w:val="24"/>
              </w:rPr>
              <w:t>食欲下降</w:t>
            </w:r>
          </w:p>
        </w:tc>
        <w:tc>
          <w:tcPr>
            <w:tcW w:w="0" w:type="auto"/>
            <w:tcMar>
              <w:top w:w="15" w:type="dxa"/>
              <w:left w:w="15" w:type="dxa"/>
              <w:bottom w:w="15" w:type="dxa"/>
              <w:right w:w="15" w:type="dxa"/>
            </w:tcMar>
            <w:vAlign w:val="center"/>
            <w:hideMark/>
          </w:tcPr>
          <w:p w14:paraId="11896AD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FD44AB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E441AE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5CA40B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B211938"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3FD185C2" w14:textId="77777777">
            <w:r>
              <w:rPr>
                <w:rFonts w:ascii="等线" w:hAnsi="等线" w:eastAsia="等线" w:cs="宋体"/>
                <w:kern w:val="2"/>
                <w:sz w:val="22"/>
                <w:szCs w:val="24"/>
              </w:rPr>
              <w:t>1 (11.1%</w:t>
            </w:r>
            <w:r>
              <w:rPr>
                <w:rFonts w:ascii="等线" w:hAnsi="等线" w:eastAsia="等线" w:cs="宋体"/>
                <w:kern w:val="2"/>
                <w:sz w:val="22"/>
                <w:szCs w:val="24"/>
              </w:rPr>
              <w:t>)</w:t>
            </w:r>
          </w:p>
        </w:tc>
        <w:tc>
          <w:tcPr>
            <w:tcW w:w="0" w:type="auto"/>
            <w:tcMar>
              <w:top w:w="15" w:type="dxa"/>
              <w:left w:w="15" w:type="dxa"/>
              <w:bottom w:w="15" w:type="dxa"/>
              <w:right w:w="15" w:type="dxa"/>
            </w:tcMar>
            <w:vAlign w:val="center"/>
            <w:hideMark/>
          </w:tcPr>
          <w:p w14:paraId="64054C99" w14:textId="77777777">
            <w:r>
              <w:lastRenderedPageBreak/>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3A5883B7"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70C1E02A"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58C19F8C"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3EC885E8" w14:textId="77777777">
            <w:r>
              <w:rPr>
                <w:rFonts w:ascii="等线" w:hAnsi="等线" w:eastAsia="等线" w:cs="宋体"/>
                <w:kern w:val="2"/>
                <w:sz w:val="22"/>
                <w:szCs w:val="24"/>
              </w:rPr>
              <w:t>低白蛋白血症</w:t>
            </w:r>
          </w:p>
        </w:tc>
        <w:tc>
          <w:tcPr>
            <w:tcW w:w="0" w:type="auto"/>
            <w:tcMar>
              <w:top w:w="15" w:type="dxa"/>
              <w:left w:w="15" w:type="dxa"/>
              <w:bottom w:w="15" w:type="dxa"/>
              <w:right w:w="15" w:type="dxa"/>
            </w:tcMar>
            <w:vAlign w:val="center"/>
            <w:hideMark/>
          </w:tcPr>
          <w:p w14:paraId="2DC5F4A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E48005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B42CB1F"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C774E35"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6800414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CD66FC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98B1DB3"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68FF5855"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26EC9BE8"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5E25E3C1"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6E6AE8E1" w14:textId="77777777">
            <w:r>
              <w:rPr>
                <w:rFonts w:ascii="等线" w:hAnsi="等线" w:eastAsia="等线" w:cs="宋体"/>
                <w:kern w:val="2"/>
                <w:sz w:val="22"/>
                <w:szCs w:val="24"/>
              </w:rPr>
              <w:t>低钾血症</w:t>
            </w:r>
          </w:p>
        </w:tc>
        <w:tc>
          <w:tcPr>
            <w:tcW w:w="0" w:type="auto"/>
            <w:tcMar>
              <w:top w:w="15" w:type="dxa"/>
              <w:left w:w="15" w:type="dxa"/>
              <w:bottom w:w="15" w:type="dxa"/>
              <w:right w:w="15" w:type="dxa"/>
            </w:tcMar>
            <w:vAlign w:val="center"/>
            <w:hideMark/>
          </w:tcPr>
          <w:p w14:paraId="1674EBD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E8934F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0C17346"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686FF6DB" w14:textId="77777777">
            <w:r>
              <w:rPr>
                <w:rFonts w:ascii="等线" w:hAnsi="等线" w:eastAsia="等线" w:cs="宋体"/>
                <w:kern w:val="2"/>
                <w:sz w:val="22"/>
                <w:szCs w:val="24"/>
              </w:rPr>
              <w:t>1 (16.7%)</w:t>
            </w:r>
          </w:p>
        </w:tc>
        <w:tc>
          <w:tcPr>
            <w:tcW w:w="0" w:type="auto"/>
            <w:tcMar>
              <w:top w:w="15" w:type="dxa"/>
              <w:left w:w="15" w:type="dxa"/>
              <w:bottom w:w="15" w:type="dxa"/>
              <w:right w:w="15" w:type="dxa"/>
            </w:tcMar>
            <w:vAlign w:val="center"/>
            <w:hideMark/>
          </w:tcPr>
          <w:p w14:paraId="2A5E12C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602AF8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015F04B"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4B04417"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3930EDD6"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25210F86"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15768AE7" w14:textId="77777777">
            <w:r>
              <w:rPr>
                <w:rFonts w:ascii="等线" w:hAnsi="等线" w:eastAsia="等线" w:cs="宋体"/>
                <w:b/>
                <w:bCs/>
                <w:kern w:val="2"/>
                <w:sz w:val="22"/>
                <w:szCs w:val="24"/>
              </w:rPr>
              <w:t>血液及淋巴系统疾病</w:t>
            </w:r>
          </w:p>
        </w:tc>
        <w:tc>
          <w:tcPr>
            <w:tcW w:w="0" w:type="auto"/>
            <w:tcMar>
              <w:top w:w="15" w:type="dxa"/>
              <w:left w:w="15" w:type="dxa"/>
              <w:bottom w:w="15" w:type="dxa"/>
              <w:right w:w="15" w:type="dxa"/>
            </w:tcMar>
            <w:vAlign w:val="center"/>
            <w:hideMark/>
          </w:tcPr>
          <w:p w14:paraId="7FBB781D"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5FBE195"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3B09F68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842A9D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07AD4C2"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340D1AD"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68B879F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82CE7B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DC1376F"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387877C3"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48ED6DFA" w14:textId="77777777">
            <w:r>
              <w:rPr>
                <w:rFonts w:ascii="等线" w:hAnsi="等线" w:eastAsia="等线" w:cs="宋体"/>
                <w:kern w:val="2"/>
                <w:sz w:val="22"/>
                <w:szCs w:val="24"/>
              </w:rPr>
              <w:t>贫血</w:t>
            </w:r>
          </w:p>
        </w:tc>
        <w:tc>
          <w:tcPr>
            <w:tcW w:w="0" w:type="auto"/>
            <w:tcMar>
              <w:top w:w="15" w:type="dxa"/>
              <w:left w:w="15" w:type="dxa"/>
              <w:bottom w:w="15" w:type="dxa"/>
              <w:right w:w="15" w:type="dxa"/>
            </w:tcMar>
            <w:vAlign w:val="center"/>
            <w:hideMark/>
          </w:tcPr>
          <w:p w14:paraId="57A0E10B"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1E64467" w14:textId="77777777">
            <w:r>
              <w:rPr>
                <w:rFonts w:ascii="等线" w:hAnsi="等线" w:eastAsia="等线" w:cs="宋体"/>
                <w:kern w:val="2"/>
                <w:sz w:val="22"/>
                <w:szCs w:val="24"/>
              </w:rPr>
              <w:t>1 (33.3%)</w:t>
            </w:r>
          </w:p>
        </w:tc>
        <w:tc>
          <w:tcPr>
            <w:tcW w:w="0" w:type="auto"/>
            <w:tcMar>
              <w:top w:w="15" w:type="dxa"/>
              <w:left w:w="15" w:type="dxa"/>
              <w:bottom w:w="15" w:type="dxa"/>
              <w:right w:w="15" w:type="dxa"/>
            </w:tcMar>
            <w:vAlign w:val="center"/>
            <w:hideMark/>
          </w:tcPr>
          <w:p w14:paraId="09DB025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1F615D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8B14042"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52FB0BAD" w14:textId="77777777">
            <w:r>
              <w:rPr>
                <w:rFonts w:ascii="等线" w:hAnsi="等线" w:eastAsia="等线" w:cs="宋体"/>
                <w:kern w:val="2"/>
                <w:sz w:val="22"/>
                <w:szCs w:val="24"/>
              </w:rPr>
              <w:t>1 (11.1%)</w:t>
            </w:r>
          </w:p>
        </w:tc>
        <w:tc>
          <w:tcPr>
            <w:tcW w:w="0" w:type="auto"/>
            <w:tcMar>
              <w:top w:w="15" w:type="dxa"/>
              <w:left w:w="15" w:type="dxa"/>
              <w:bottom w:w="15" w:type="dxa"/>
              <w:right w:w="15" w:type="dxa"/>
            </w:tcMar>
            <w:vAlign w:val="center"/>
            <w:hideMark/>
          </w:tcPr>
          <w:p w14:paraId="03FBD4A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F1AA8B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CC86E31"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603840AA" w14:textId="77777777">
            <w:r>
              <w:rPr>
                <w:rFonts w:ascii="等线" w:hAnsi="等线" w:eastAsia="等线" w:cs="宋体"/>
                <w:kern w:val="2"/>
                <w:sz w:val="22"/>
                <w:szCs w:val="24"/>
              </w:rPr>
              <w:t>2 (6.7%)</w:t>
            </w:r>
          </w:p>
        </w:tc>
      </w:tr>
      <w:tr>
        <w:tc>
          <w:tcPr>
            <w:tcW w:w="0" w:type="auto"/>
            <w:tcMar>
              <w:top w:w="15" w:type="dxa"/>
              <w:left w:w="15" w:type="dxa"/>
              <w:bottom w:w="15" w:type="dxa"/>
              <w:right w:w="15" w:type="dxa"/>
            </w:tcMar>
            <w:vAlign w:val="center"/>
            <w:hideMark/>
          </w:tcPr>
          <w:p w14:paraId="7E6CC7FD" w14:textId="77777777">
            <w:r>
              <w:rPr>
                <w:rFonts w:ascii="等线" w:hAnsi="等线" w:eastAsia="等线" w:cs="宋体"/>
                <w:b/>
                <w:bCs/>
                <w:kern w:val="2"/>
                <w:sz w:val="22"/>
                <w:szCs w:val="24"/>
              </w:rPr>
              <w:t>肌肉骨骼及结缔组织疾病</w:t>
            </w:r>
          </w:p>
        </w:tc>
        <w:tc>
          <w:tcPr>
            <w:tcW w:w="0" w:type="auto"/>
            <w:tcMar>
              <w:top w:w="15" w:type="dxa"/>
              <w:left w:w="15" w:type="dxa"/>
              <w:bottom w:w="15" w:type="dxa"/>
              <w:right w:w="15" w:type="dxa"/>
            </w:tcMar>
            <w:vAlign w:val="center"/>
            <w:hideMark/>
          </w:tcPr>
          <w:p w14:paraId="2E412F6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5C4F51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FFC19D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57787A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59BB68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1B6675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DA6FF3F"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2A9AE5C9"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136E17F4"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199AD82" w14:textId="77777777">
            <w:r>
              <w:rPr>
                <w:rFonts w:ascii="等线" w:hAnsi="等线" w:eastAsia="等线" w:cs="宋体"/>
                <w:kern w:val="2"/>
                <w:sz w:val="22"/>
                <w:szCs w:val="24"/>
              </w:rPr>
              <w:t>1 (3.3%)</w:t>
            </w:r>
          </w:p>
        </w:tc>
      </w:tr>
      <w:tr>
        <w:tc>
          <w:tcPr>
            <w:tcW w:w="0" w:type="auto"/>
            <w:tcMar>
              <w:top w:w="15" w:type="dxa"/>
              <w:left w:w="15" w:type="dxa"/>
              <w:bottom w:w="15" w:type="dxa"/>
              <w:right w:w="15" w:type="dxa"/>
            </w:tcMar>
            <w:vAlign w:val="center"/>
            <w:hideMark/>
          </w:tcPr>
          <w:p w14:paraId="041D0C71" w14:textId="77777777">
            <w:r>
              <w:rPr>
                <w:rFonts w:ascii="等线" w:hAnsi="等线" w:eastAsia="等线" w:cs="宋体"/>
                <w:kern w:val="2"/>
                <w:sz w:val="22"/>
                <w:szCs w:val="24"/>
              </w:rPr>
              <w:t>肌痛</w:t>
            </w:r>
          </w:p>
        </w:tc>
        <w:tc>
          <w:tcPr>
            <w:tcW w:w="0" w:type="auto"/>
            <w:tcMar>
              <w:top w:w="15" w:type="dxa"/>
              <w:left w:w="15" w:type="dxa"/>
              <w:bottom w:w="15" w:type="dxa"/>
              <w:right w:w="15" w:type="dxa"/>
            </w:tcMar>
            <w:vAlign w:val="center"/>
            <w:hideMark/>
          </w:tcPr>
          <w:p w14:paraId="6972F9B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AE35AF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F2696D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6769F5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FCB743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B374BB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36143A3"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256CA3FA"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53DB668A"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22F9A93B" w14:textId="77777777">
            <w:r>
              <w:rPr>
                <w:rFonts w:ascii="等线" w:hAnsi="等线" w:eastAsia="等线" w:cs="宋体"/>
                <w:kern w:val="2"/>
                <w:sz w:val="22"/>
                <w:szCs w:val="24"/>
              </w:rPr>
              <w:t>1 (3.3%)</w:t>
            </w:r>
          </w:p>
        </w:tc>
      </w:tr>
      <w:tr>
        <w:tc>
          <w:tcPr>
            <w:tcW w:w="0" w:type="auto"/>
            <w:tcMar>
              <w:top w:w="15" w:type="dxa"/>
              <w:left w:w="15" w:type="dxa"/>
              <w:bottom w:w="15" w:type="dxa"/>
              <w:right w:w="15" w:type="dxa"/>
            </w:tcMar>
            <w:vAlign w:val="center"/>
            <w:hideMark/>
          </w:tcPr>
          <w:p w14:paraId="05FB7048" w14:textId="77777777">
            <w:r>
              <w:rPr>
                <w:rFonts w:ascii="等线" w:hAnsi="等线" w:eastAsia="等线" w:cs="宋体"/>
                <w:b/>
                <w:bCs/>
                <w:kern w:val="2"/>
                <w:sz w:val="22"/>
                <w:szCs w:val="24"/>
              </w:rPr>
              <w:t>神经系统疾病</w:t>
            </w:r>
          </w:p>
        </w:tc>
        <w:tc>
          <w:tcPr>
            <w:tcW w:w="0" w:type="auto"/>
            <w:tcMar>
              <w:top w:w="15" w:type="dxa"/>
              <w:left w:w="15" w:type="dxa"/>
              <w:bottom w:w="15" w:type="dxa"/>
              <w:right w:w="15" w:type="dxa"/>
            </w:tcMar>
            <w:vAlign w:val="center"/>
            <w:hideMark/>
          </w:tcPr>
          <w:p w14:paraId="1A0F359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48723D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F75D37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63EE54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5EDEB1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35FE01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023AD70"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3C1838C"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31E04DE1"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518772D" w14:textId="77777777">
            <w:r>
              <w:rPr>
                <w:rFonts w:ascii="等线" w:hAnsi="等线" w:eastAsia="等线" w:cs="宋体"/>
                <w:kern w:val="2"/>
                <w:sz w:val="22"/>
                <w:szCs w:val="24"/>
              </w:rPr>
              <w:t>1 (3.3%)</w:t>
            </w:r>
          </w:p>
        </w:tc>
      </w:tr>
      <w:tr>
        <w:tc>
          <w:tcPr>
            <w:tcW w:w="0" w:type="auto"/>
            <w:tcMar>
              <w:top w:w="15" w:type="dxa"/>
              <w:left w:w="15" w:type="dxa"/>
              <w:bottom w:w="15" w:type="dxa"/>
              <w:right w:w="15" w:type="dxa"/>
            </w:tcMar>
            <w:vAlign w:val="center"/>
            <w:hideMark/>
          </w:tcPr>
          <w:p w14:paraId="2B977D66" w14:textId="77777777">
            <w:r>
              <w:rPr>
                <w:rFonts w:ascii="等线" w:hAnsi="等线" w:eastAsia="等线" w:cs="宋体"/>
                <w:kern w:val="2"/>
                <w:sz w:val="22"/>
                <w:szCs w:val="24"/>
              </w:rPr>
              <w:t>头痛</w:t>
            </w:r>
          </w:p>
        </w:tc>
        <w:tc>
          <w:tcPr>
            <w:tcW w:w="0" w:type="auto"/>
            <w:tcMar>
              <w:top w:w="15" w:type="dxa"/>
              <w:left w:w="15" w:type="dxa"/>
              <w:bottom w:w="15" w:type="dxa"/>
              <w:right w:w="15" w:type="dxa"/>
            </w:tcMar>
            <w:vAlign w:val="center"/>
            <w:hideMark/>
          </w:tcPr>
          <w:p w14:paraId="6DB26BF9"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0E518F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FFB3F4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4B668C6"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4DE245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924B7C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0AA5003"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30CC6852" w14:textId="77777777">
            <w:r>
              <w:rPr>
                <w:rFonts w:ascii="等线" w:hAnsi="等线" w:eastAsia="等线" w:cs="宋体"/>
                <w:kern w:val="2"/>
                <w:sz w:val="22"/>
                <w:szCs w:val="24"/>
              </w:rPr>
              <w:t>1 (8.3%)</w:t>
            </w:r>
          </w:p>
        </w:tc>
        <w:tc>
          <w:tcPr>
            <w:tcW w:w="0" w:type="auto"/>
            <w:tcMar>
              <w:top w:w="15" w:type="dxa"/>
              <w:left w:w="15" w:type="dxa"/>
              <w:bottom w:w="15" w:type="dxa"/>
              <w:right w:w="15" w:type="dxa"/>
            </w:tcMar>
            <w:vAlign w:val="center"/>
            <w:hideMark/>
          </w:tcPr>
          <w:p w14:paraId="2CCAD47A"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7C46191E" w14:textId="77777777">
            <w:r>
              <w:rPr>
                <w:rFonts w:ascii="等线" w:hAnsi="等线" w:eastAsia="等线" w:cs="宋体"/>
                <w:kern w:val="2"/>
                <w:sz w:val="22"/>
                <w:szCs w:val="24"/>
              </w:rPr>
              <w:t>1 (3.3%)</w:t>
            </w:r>
          </w:p>
        </w:tc>
      </w:tr>
    </w:tbl>
    <w:p w14:paraId="04CFCF18" w14:textId="77777777"/>
    <w:p w14:paraId="33487F1F" w14:textId="77777777">
      <w:pPr>
        <w:pStyle w:val="2"/>
      </w:pPr>
      <w:r>
        <w:rPr>
          <w:rFonts w:ascii="等线 Light" w:hAnsi="等线 Light" w:eastAsia="等线 Light" w:cs="宋体"/>
          <w:color w:val="2F5496"/>
          <w:kern w:val="2"/>
          <w:sz w:val="40"/>
          <w:szCs w:val="40"/>
        </w:rPr>
        <w:t>6.2 VT8802 II期非</w:t>
      </w:r>
      <w:r>
        <w:rPr>
          <w:rFonts w:ascii="等线 Light" w:hAnsi="等线 Light" w:eastAsia="等线 Light" w:cs="宋体"/>
          <w:color w:val="2F5496"/>
          <w:kern w:val="2"/>
          <w:sz w:val="40"/>
          <w:szCs w:val="40"/>
        </w:rPr>
        <w:t>鳞状非</w:t>
      </w:r>
      <w:r>
        <w:rPr>
          <w:rFonts w:ascii="等线 Light" w:hAnsi="等线 Light" w:eastAsia="等线 Light" w:cs="宋体"/>
          <w:color w:val="2F5496"/>
          <w:kern w:val="2"/>
          <w:sz w:val="40"/>
          <w:szCs w:val="40"/>
        </w:rPr>
        <w:t>小细胞肺癌研究</w:t>
      </w:r>
    </w:p>
    <w:p w14:paraId="7F4192F6" w14:textId="372CB214">
      <w:r>
        <w:rPr>
          <w:rFonts w:ascii="等线" w:hAnsi="等线" w:eastAsia="等线" w:cs="宋体"/>
          <w:kern w:val="2"/>
          <w:sz w:val="22"/>
          <w:szCs w:val="24"/>
        </w:rPr>
        <w:t>正在进行的II期临床研究（OOJ-VT8802-</w:t>
      </w:r>
      <w:r>
        <w:rPr>
          <w:rFonts w:ascii="等线" w:hAnsi="等线" w:eastAsia="等线" w:cs="宋体"/>
          <w:kern w:val="2"/>
          <w:sz w:val="22"/>
          <w:szCs w:val="24"/>
        </w:rPr>
        <w:t>02</w:t>
      </w:r>
      <w:r>
        <w:rPr>
          <w:rFonts w:ascii="等线" w:hAnsi="等线" w:eastAsia="等线" w:cs="宋体"/>
          <w:kern w:val="2"/>
          <w:sz w:val="22"/>
          <w:szCs w:val="24"/>
        </w:rPr>
        <w:t>）旨在探索VT8802</w:t>
      </w:r>
      <w:r>
        <w:rPr>
          <w:rFonts w:ascii="等线" w:hAnsi="等线" w:eastAsia="等线" w:cs="宋体"/>
          <w:kern w:val="2"/>
          <w:sz w:val="22"/>
          <w:szCs w:val="24"/>
        </w:rPr>
        <w:t>联合卡铂和</w:t>
      </w:r>
      <w:r>
        <w:rPr>
          <w:rFonts w:ascii="等线" w:hAnsi="等线" w:eastAsia="等线" w:cs="宋体"/>
          <w:kern w:val="2"/>
          <w:sz w:val="22"/>
          <w:szCs w:val="24"/>
        </w:rPr>
        <w:t>培美</w:t>
      </w:r>
      <w:r>
        <w:rPr>
          <w:rFonts w:ascii="等线" w:hAnsi="等线" w:eastAsia="等线" w:cs="宋体"/>
          <w:kern w:val="2"/>
          <w:sz w:val="22"/>
          <w:szCs w:val="24"/>
        </w:rPr>
        <w:t>曲塞</w:t>
      </w:r>
      <w:r>
        <w:rPr>
          <w:rFonts w:ascii="等线" w:hAnsi="等线" w:eastAsia="等线" w:cs="宋体"/>
          <w:kern w:val="2"/>
          <w:sz w:val="22"/>
          <w:szCs w:val="24"/>
        </w:rPr>
        <w:t>治疗</w:t>
      </w:r>
      <w:r>
        <w:rPr>
          <w:rFonts w:ascii="等线" w:hAnsi="等线" w:eastAsia="等线" w:cs="宋体"/>
          <w:kern w:val="2"/>
          <w:sz w:val="22"/>
          <w:szCs w:val="24"/>
        </w:rPr>
        <w:t>晚期非</w:t>
      </w:r>
      <w:r>
        <w:rPr>
          <w:rFonts w:ascii="等线" w:hAnsi="等线" w:eastAsia="等线" w:cs="宋体"/>
          <w:kern w:val="2"/>
          <w:sz w:val="22"/>
          <w:szCs w:val="24"/>
        </w:rPr>
        <w:t>鳞状非</w:t>
      </w:r>
      <w:r>
        <w:rPr>
          <w:rFonts w:ascii="等线" w:hAnsi="等线" w:eastAsia="等线" w:cs="宋体"/>
          <w:kern w:val="2"/>
          <w:sz w:val="22"/>
          <w:szCs w:val="24"/>
        </w:rPr>
        <w:t xml:space="preserve">小细胞肺癌试验参与者的安全性和初步有效性。 </w:t>
      </w:r>
    </w:p>
    <w:p w14:paraId="11AFEB3E" w14:textId="77777777">
      <w:r>
        <w:rPr>
          <w:rFonts w:ascii="等线" w:hAnsi="等线" w:eastAsia="等线" w:cs="宋体"/>
          <w:kern w:val="2"/>
          <w:sz w:val="22"/>
          <w:szCs w:val="24"/>
        </w:rPr>
        <w:t>截至2023年11月30日，本研究仍在进行中，共20例试验参与者接受3 mg/kg Q3W的VT8802联合</w:t>
      </w:r>
      <w:r>
        <w:rPr>
          <w:rFonts w:ascii="等线" w:hAnsi="等线" w:eastAsia="等线" w:cs="宋体"/>
          <w:kern w:val="2"/>
          <w:sz w:val="22"/>
          <w:szCs w:val="24"/>
        </w:rPr>
        <w:t>卡铂与培美曲塞</w:t>
      </w:r>
      <w:r>
        <w:rPr>
          <w:rFonts w:ascii="等线" w:hAnsi="等线" w:eastAsia="等线" w:cs="宋体"/>
          <w:kern w:val="2"/>
          <w:sz w:val="22"/>
          <w:szCs w:val="24"/>
        </w:rPr>
        <w:t>治疗。18例（90.0%）试验参与者发生86例次治疗期间出现的不良事件（TEAE），14例（70.0%）试验参与者发生52例次不良反应（ADR）。发生率≥10%的ADR包括恶心（40.0%）、贫血（30.0%）、中性粒细胞计数降低（25.0%）、乏力（25.0%）、白细胞计数降低（20.0%）、食欲下降（20.0%）、呕吐（15.0%）、皮疹（15.0%）、腹泻（10.0%）、输液相关反应（10.0%）、丙氨酸氨基转移酶升高（10.0%）、发热（10.0%）及感染性肺炎（10.0%），见表2。≥3级的ADR包括中性粒细胞计数降低、发热性中性粒细胞减少症、贫血及感染性肺炎。</w:t>
      </w:r>
    </w:p>
    <w:p w14:paraId="24E07760" w14:textId="77777777">
      <w:r>
        <w:rPr>
          <w:rFonts w:ascii="等线" w:hAnsi="等线" w:eastAsia="等线" w:cs="宋体"/>
          <w:kern w:val="2"/>
          <w:sz w:val="22"/>
          <w:szCs w:val="24"/>
        </w:rPr>
        <w:t>8例（40.0%）试验参与者发生16例次与VT8802相关的ADR，包括皮疹、输液相关反应、发热、乏力、丙氨酸氨基转移酶升高、天门冬氨酸氨基转移酶升高、促甲状腺激素升高、腹泻及感染性肺炎，详见表3；12例（60.0%）试验参与者发生20例次与</w:t>
      </w:r>
      <w:r>
        <w:rPr>
          <w:rFonts w:ascii="等线" w:hAnsi="等线" w:eastAsia="等线" w:cs="宋体"/>
          <w:kern w:val="2"/>
          <w:sz w:val="22"/>
          <w:szCs w:val="24"/>
        </w:rPr>
        <w:t>卡铂相关</w:t>
      </w:r>
      <w:r>
        <w:rPr>
          <w:rFonts w:ascii="等线" w:hAnsi="等线" w:eastAsia="等线" w:cs="宋体"/>
          <w:kern w:val="2"/>
          <w:sz w:val="22"/>
          <w:szCs w:val="24"/>
        </w:rPr>
        <w:t>的ADR，包括恶心、呕吐、贫血、中性粒细胞计数降低、白细胞计数降低、食欲下降、低白蛋白血症及血小板计数降低；11例（55.0%）试验参与者发生16例次</w:t>
      </w:r>
      <w:r>
        <w:rPr>
          <w:rFonts w:ascii="等线" w:hAnsi="等线" w:eastAsia="等线" w:cs="宋体"/>
          <w:kern w:val="2"/>
          <w:sz w:val="22"/>
          <w:szCs w:val="24"/>
        </w:rPr>
        <w:t>与培美曲塞相关</w:t>
      </w:r>
      <w:r>
        <w:rPr>
          <w:rFonts w:ascii="等线" w:hAnsi="等线" w:eastAsia="等线" w:cs="宋体"/>
          <w:kern w:val="2"/>
          <w:sz w:val="22"/>
          <w:szCs w:val="24"/>
        </w:rPr>
        <w:t>的ADR，包括贫血、中性粒细胞计数降低、白细胞计数降低、食欲下降、恶心、呕吐、腹泻及皮疹。共3例试验参与者发生4例次严重不良事件（SAE），包括2例次中性粒细胞减少症、1例次感染性肺炎及1例次房颤。其中，感染性肺炎判定为与VT8802相关；中性粒细胞减少症判定为与</w:t>
      </w:r>
      <w:r>
        <w:rPr>
          <w:rFonts w:ascii="等线" w:hAnsi="等线" w:eastAsia="等线" w:cs="宋体"/>
          <w:kern w:val="2"/>
          <w:sz w:val="22"/>
          <w:szCs w:val="24"/>
        </w:rPr>
        <w:t>卡铂及培美曲塞</w:t>
      </w:r>
      <w:r>
        <w:rPr>
          <w:rFonts w:ascii="等线" w:hAnsi="等线" w:eastAsia="等线" w:cs="宋体"/>
          <w:kern w:val="2"/>
          <w:sz w:val="22"/>
          <w:szCs w:val="24"/>
        </w:rPr>
        <w:t>相关；房颤判定为与VT8802、</w:t>
      </w:r>
      <w:r>
        <w:rPr>
          <w:rFonts w:ascii="等线" w:hAnsi="等线" w:eastAsia="等线" w:cs="宋体"/>
          <w:kern w:val="2"/>
          <w:sz w:val="22"/>
          <w:szCs w:val="24"/>
        </w:rPr>
        <w:t>卡铂及培美曲塞均</w:t>
      </w:r>
      <w:r>
        <w:rPr>
          <w:rFonts w:ascii="等线" w:hAnsi="等线" w:eastAsia="等线" w:cs="宋体"/>
          <w:kern w:val="2"/>
          <w:sz w:val="22"/>
          <w:szCs w:val="24"/>
        </w:rPr>
        <w:t>无关。</w:t>
      </w:r>
    </w:p>
    <w:p w14:paraId="52506D26" w14:textId="77777777">
      <w:r>
        <w:rPr>
          <w:rFonts w:ascii="等线" w:hAnsi="等线" w:eastAsia="等线" w:cs="宋体"/>
          <w:kern w:val="2"/>
          <w:sz w:val="22"/>
          <w:szCs w:val="24"/>
        </w:rPr>
        <w:t xml:space="preserve">表2            OOJ-VT8802-02研究中不良反应发生情况汇总</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3143"/>
        <w:gridCol w:w="869"/>
        <w:gridCol w:w="1419"/>
        <w:gridCol w:w="1155"/>
        <w:gridCol w:w="1720"/>
      </w:tblGrid>
      <w:tr>
        <w:trPr>
          <w:tblHeader/>
        </w:trPr>
        <w:tc>
          <w:tcPr>
            <w:tcW w:w="0" w:type="auto"/>
            <w:tcMar>
              <w:top w:w="15" w:type="dxa"/>
              <w:left w:w="15" w:type="dxa"/>
              <w:bottom w:w="15" w:type="dxa"/>
              <w:right w:w="15" w:type="dxa"/>
            </w:tcMar>
            <w:vAlign w:val="center"/>
            <w:hideMark/>
          </w:tcPr>
          <w:p w14:paraId="72782B62" w14:textId="77777777">
            <w:pPr>
              <w:rPr>
                <w:b/>
                <w:bCs/>
              </w:rPr>
            </w:pPr>
            <w:r>
              <w:rPr>
                <w:rFonts w:ascii="等线" w:hAnsi="等线" w:eastAsia="等线" w:cs="宋体"/>
                <w:b/>
                <w:bCs/>
                <w:kern w:val="2"/>
                <w:sz w:val="22"/>
                <w:szCs w:val="24"/>
              </w:rPr>
              <w:t>不良反应（SOC/PT）（N=20）</w:t>
            </w:r>
          </w:p>
        </w:tc>
        <w:tc>
          <w:tcPr>
            <w:tcW w:w="0" w:type="auto"/>
            <w:tcMar>
              <w:top w:w="15" w:type="dxa"/>
              <w:left w:w="15" w:type="dxa"/>
              <w:bottom w:w="15" w:type="dxa"/>
              <w:right w:w="15" w:type="dxa"/>
            </w:tcMar>
            <w:vAlign w:val="center"/>
            <w:hideMark/>
          </w:tcPr>
          <w:p w14:paraId="072553FA" w14:textId="77777777">
            <w:pPr>
              <w:rPr>
                <w:b/>
                <w:bCs/>
              </w:rPr>
            </w:pPr>
            <w:r>
              <w:rPr>
                <w:rFonts w:ascii="等线" w:hAnsi="等线" w:eastAsia="等线" w:cs="宋体"/>
                <w:b/>
                <w:bCs/>
                <w:kern w:val="2"/>
                <w:sz w:val="22"/>
                <w:szCs w:val="24"/>
              </w:rPr>
              <w:t>All 例次</w:t>
            </w:r>
          </w:p>
        </w:tc>
        <w:tc>
          <w:tcPr>
            <w:tcW w:w="0" w:type="auto"/>
            <w:tcMar>
              <w:top w:w="15" w:type="dxa"/>
              <w:left w:w="15" w:type="dxa"/>
              <w:bottom w:w="15" w:type="dxa"/>
              <w:right w:w="15" w:type="dxa"/>
            </w:tcMar>
            <w:vAlign w:val="center"/>
            <w:hideMark/>
          </w:tcPr>
          <w:p w14:paraId="3E135D96" w14:textId="77777777">
            <w:pPr>
              <w:rPr>
                <w:b/>
                <w:bCs/>
              </w:rPr>
            </w:pPr>
            <w:r>
              <w:rPr>
                <w:rFonts w:ascii="等线" w:hAnsi="等线" w:eastAsia="等线" w:cs="宋体"/>
                <w:b/>
                <w:bCs/>
                <w:kern w:val="2"/>
                <w:sz w:val="22"/>
                <w:szCs w:val="24"/>
              </w:rPr>
              <w:t>All 例数（%）</w:t>
            </w:r>
          </w:p>
        </w:tc>
        <w:tc>
          <w:tcPr>
            <w:tcW w:w="0" w:type="auto"/>
            <w:tcMar>
              <w:top w:w="15" w:type="dxa"/>
              <w:left w:w="15" w:type="dxa"/>
              <w:bottom w:w="15" w:type="dxa"/>
              <w:right w:w="15" w:type="dxa"/>
            </w:tcMar>
            <w:vAlign w:val="center"/>
            <w:hideMark/>
          </w:tcPr>
          <w:p w14:paraId="07FA0D13" w14:textId="77777777">
            <w:pPr>
              <w:rPr>
                <w:b/>
                <w:bCs/>
              </w:rPr>
            </w:pPr>
            <w:r>
              <w:rPr>
                <w:rFonts w:ascii="等线" w:hAnsi="等线" w:eastAsia="等线" w:cs="宋体"/>
                <w:b/>
                <w:bCs/>
                <w:kern w:val="2"/>
                <w:sz w:val="22"/>
                <w:szCs w:val="24"/>
              </w:rPr>
              <w:t>≥3级 例次</w:t>
            </w:r>
          </w:p>
        </w:tc>
        <w:tc>
          <w:tcPr>
            <w:tcW w:w="0" w:type="auto"/>
            <w:tcMar>
              <w:top w:w="15" w:type="dxa"/>
              <w:left w:w="15" w:type="dxa"/>
              <w:bottom w:w="15" w:type="dxa"/>
              <w:right w:w="15" w:type="dxa"/>
            </w:tcMar>
            <w:vAlign w:val="center"/>
            <w:hideMark/>
          </w:tcPr>
          <w:p w14:paraId="1ED4539E" w14:textId="77777777">
            <w:pPr>
              <w:rPr>
                <w:b/>
                <w:bCs/>
              </w:rPr>
            </w:pPr>
            <w:r>
              <w:rPr>
                <w:rFonts w:ascii="等线" w:hAnsi="等线" w:eastAsia="等线" w:cs="宋体"/>
                <w:b/>
                <w:bCs/>
                <w:kern w:val="2"/>
                <w:sz w:val="22"/>
                <w:szCs w:val="24"/>
              </w:rPr>
              <w:t>≥3级 例数（%）</w:t>
            </w:r>
          </w:p>
        </w:tc>
      </w:tr>
      <w:tr>
        <w:tc>
          <w:tcPr>
            <w:tcW w:w="0" w:type="auto"/>
            <w:tcMar>
              <w:top w:w="15" w:type="dxa"/>
              <w:left w:w="15" w:type="dxa"/>
              <w:bottom w:w="15" w:type="dxa"/>
              <w:right w:w="15" w:type="dxa"/>
            </w:tcMar>
            <w:vAlign w:val="center"/>
            <w:hideMark/>
          </w:tcPr>
          <w:p w14:paraId="42593A43" w14:textId="77777777">
            <w:r>
              <w:rPr>
                <w:rFonts w:ascii="等线" w:hAnsi="等线" w:eastAsia="等线" w:cs="宋体"/>
                <w:kern w:val="2"/>
                <w:sz w:val="22"/>
                <w:szCs w:val="24"/>
              </w:rPr>
              <w:t>所有ADR</w:t>
            </w:r>
          </w:p>
        </w:tc>
        <w:tc>
          <w:tcPr>
            <w:tcW w:w="0" w:type="auto"/>
            <w:tcMar>
              <w:top w:w="15" w:type="dxa"/>
              <w:left w:w="15" w:type="dxa"/>
              <w:bottom w:w="15" w:type="dxa"/>
              <w:right w:w="15" w:type="dxa"/>
            </w:tcMar>
            <w:vAlign w:val="center"/>
            <w:hideMark/>
          </w:tcPr>
          <w:p w14:paraId="741CE504" w14:textId="77777777">
            <w:r>
              <w:rPr>
                <w:rFonts w:ascii="等线" w:hAnsi="等线" w:eastAsia="等线" w:cs="宋体"/>
                <w:kern w:val="2"/>
                <w:sz w:val="22"/>
                <w:szCs w:val="24"/>
              </w:rPr>
              <w:t>52</w:t>
            </w:r>
          </w:p>
        </w:tc>
        <w:tc>
          <w:tcPr>
            <w:tcW w:w="0" w:type="auto"/>
            <w:tcMar>
              <w:top w:w="15" w:type="dxa"/>
              <w:left w:w="15" w:type="dxa"/>
              <w:bottom w:w="15" w:type="dxa"/>
              <w:right w:w="15" w:type="dxa"/>
            </w:tcMar>
            <w:vAlign w:val="center"/>
            <w:hideMark/>
          </w:tcPr>
          <w:p w14:paraId="138AD200" w14:textId="77777777">
            <w:r>
              <w:rPr>
                <w:rFonts w:ascii="等线" w:hAnsi="等线" w:eastAsia="等线" w:cs="宋体"/>
                <w:kern w:val="2"/>
                <w:sz w:val="22"/>
                <w:szCs w:val="24"/>
              </w:rPr>
              <w:t>14（70.0）</w:t>
            </w:r>
          </w:p>
        </w:tc>
        <w:tc>
          <w:tcPr>
            <w:tcW w:w="0" w:type="auto"/>
            <w:tcMar>
              <w:top w:w="15" w:type="dxa"/>
              <w:left w:w="15" w:type="dxa"/>
              <w:bottom w:w="15" w:type="dxa"/>
              <w:right w:w="15" w:type="dxa"/>
            </w:tcMar>
            <w:vAlign w:val="center"/>
            <w:hideMark/>
          </w:tcPr>
          <w:p w14:paraId="4FA7141A"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57BB1BEF" w14:textId="77777777">
            <w:r>
              <w:rPr>
                <w:rFonts w:ascii="等线" w:hAnsi="等线" w:eastAsia="等线" w:cs="宋体"/>
                <w:kern w:val="2"/>
                <w:sz w:val="22"/>
                <w:szCs w:val="24"/>
              </w:rPr>
              <w:t>5（25.0）</w:t>
            </w:r>
          </w:p>
        </w:tc>
      </w:tr>
      <w:tr>
        <w:tc>
          <w:tcPr>
            <w:tcW w:w="0" w:type="auto"/>
            <w:tcMar>
              <w:top w:w="15" w:type="dxa"/>
              <w:left w:w="15" w:type="dxa"/>
              <w:bottom w:w="15" w:type="dxa"/>
              <w:right w:w="15" w:type="dxa"/>
            </w:tcMar>
            <w:vAlign w:val="center"/>
            <w:hideMark/>
          </w:tcPr>
          <w:p w14:paraId="620C1C37" w14:textId="77777777">
            <w:r>
              <w:rPr>
                <w:rFonts w:ascii="等线" w:hAnsi="等线" w:eastAsia="等线" w:cs="宋体"/>
                <w:b/>
                <w:bCs/>
                <w:kern w:val="2"/>
                <w:sz w:val="22"/>
                <w:szCs w:val="24"/>
              </w:rPr>
              <w:t>胃肠系统疾病</w:t>
            </w:r>
          </w:p>
        </w:tc>
        <w:tc>
          <w:tcPr>
            <w:tcW w:w="0" w:type="auto"/>
            <w:tcMar>
              <w:top w:w="15" w:type="dxa"/>
              <w:left w:w="15" w:type="dxa"/>
              <w:bottom w:w="15" w:type="dxa"/>
              <w:right w:w="15" w:type="dxa"/>
            </w:tcMar>
            <w:vAlign w:val="center"/>
            <w:hideMark/>
          </w:tcPr>
          <w:p w14:paraId="05A366BD" w14:textId="77777777">
            <w:r>
              <w:rPr>
                <w:rFonts w:ascii="等线" w:hAnsi="等线" w:eastAsia="等线" w:cs="宋体"/>
                <w:kern w:val="2"/>
                <w:sz w:val="22"/>
                <w:szCs w:val="24"/>
              </w:rPr>
              <w:t>13</w:t>
            </w:r>
          </w:p>
        </w:tc>
        <w:tc>
          <w:tcPr>
            <w:tcW w:w="0" w:type="auto"/>
            <w:tcMar>
              <w:top w:w="15" w:type="dxa"/>
              <w:left w:w="15" w:type="dxa"/>
              <w:bottom w:w="15" w:type="dxa"/>
              <w:right w:w="15" w:type="dxa"/>
            </w:tcMar>
            <w:vAlign w:val="center"/>
            <w:hideMark/>
          </w:tcPr>
          <w:p w14:paraId="68A924B1" w14:textId="77777777">
            <w:r>
              <w:rPr>
                <w:rFonts w:ascii="等线" w:hAnsi="等线" w:eastAsia="等线" w:cs="宋体"/>
                <w:kern w:val="2"/>
                <w:sz w:val="22"/>
                <w:szCs w:val="24"/>
              </w:rPr>
              <w:t>9（45.0）</w:t>
            </w:r>
          </w:p>
        </w:tc>
        <w:tc>
          <w:tcPr>
            <w:tcW w:w="0" w:type="auto"/>
            <w:tcMar>
              <w:top w:w="15" w:type="dxa"/>
              <w:left w:w="15" w:type="dxa"/>
              <w:bottom w:w="15" w:type="dxa"/>
              <w:right w:w="15" w:type="dxa"/>
            </w:tcMar>
            <w:vAlign w:val="center"/>
            <w:hideMark/>
          </w:tcPr>
          <w:p w14:paraId="3BF197C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E599D31"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3031C0D2" w14:textId="77777777">
            <w:r>
              <w:rPr>
                <w:rFonts w:ascii="等线" w:hAnsi="等线" w:eastAsia="等线" w:cs="宋体"/>
                <w:kern w:val="2"/>
                <w:sz w:val="22"/>
                <w:szCs w:val="24"/>
              </w:rPr>
              <w:t>恶心</w:t>
            </w:r>
          </w:p>
        </w:tc>
        <w:tc>
          <w:tcPr>
            <w:tcW w:w="0" w:type="auto"/>
            <w:tcMar>
              <w:top w:w="15" w:type="dxa"/>
              <w:left w:w="15" w:type="dxa"/>
              <w:bottom w:w="15" w:type="dxa"/>
              <w:right w:w="15" w:type="dxa"/>
            </w:tcMar>
            <w:vAlign w:val="center"/>
            <w:hideMark/>
          </w:tcPr>
          <w:p w14:paraId="7FBF0FBA" w14:textId="77777777">
            <w:r>
              <w:rPr>
                <w:rFonts w:ascii="等线" w:hAnsi="等线" w:eastAsia="等线" w:cs="宋体"/>
                <w:kern w:val="2"/>
                <w:sz w:val="22"/>
                <w:szCs w:val="24"/>
              </w:rPr>
              <w:t>8</w:t>
            </w:r>
          </w:p>
        </w:tc>
        <w:tc>
          <w:tcPr>
            <w:tcW w:w="0" w:type="auto"/>
            <w:tcMar>
              <w:top w:w="15" w:type="dxa"/>
              <w:left w:w="15" w:type="dxa"/>
              <w:bottom w:w="15" w:type="dxa"/>
              <w:right w:w="15" w:type="dxa"/>
            </w:tcMar>
            <w:vAlign w:val="center"/>
            <w:hideMark/>
          </w:tcPr>
          <w:p w14:paraId="5FCB51CC" w14:textId="77777777">
            <w:r>
              <w:rPr>
                <w:rFonts w:ascii="等线" w:hAnsi="等线" w:eastAsia="等线" w:cs="宋体"/>
                <w:kern w:val="2"/>
                <w:sz w:val="22"/>
                <w:szCs w:val="24"/>
              </w:rPr>
              <w:t>8（40.0）</w:t>
            </w:r>
          </w:p>
        </w:tc>
        <w:tc>
          <w:tcPr>
            <w:tcW w:w="0" w:type="auto"/>
            <w:tcMar>
              <w:top w:w="15" w:type="dxa"/>
              <w:left w:w="15" w:type="dxa"/>
              <w:bottom w:w="15" w:type="dxa"/>
              <w:right w:w="15" w:type="dxa"/>
            </w:tcMar>
            <w:vAlign w:val="center"/>
            <w:hideMark/>
          </w:tcPr>
          <w:p w14:paraId="160DE96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EC11780"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FCE3CF5" w14:textId="77777777">
            <w:r>
              <w:rPr>
                <w:rFonts w:ascii="等线" w:hAnsi="等线" w:eastAsia="等线" w:cs="宋体"/>
                <w:kern w:val="2"/>
                <w:sz w:val="22"/>
                <w:szCs w:val="24"/>
              </w:rPr>
              <w:t>呕吐</w:t>
            </w:r>
          </w:p>
        </w:tc>
        <w:tc>
          <w:tcPr>
            <w:tcW w:w="0" w:type="auto"/>
            <w:tcMar>
              <w:top w:w="15" w:type="dxa"/>
              <w:left w:w="15" w:type="dxa"/>
              <w:bottom w:w="15" w:type="dxa"/>
              <w:right w:w="15" w:type="dxa"/>
            </w:tcMar>
            <w:vAlign w:val="center"/>
            <w:hideMark/>
          </w:tcPr>
          <w:p w14:paraId="46054743"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538BC163"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3386C9F5"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4FE916C"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204643EC" w14:textId="77777777">
            <w:r>
              <w:rPr>
                <w:rFonts w:ascii="等线" w:hAnsi="等线" w:eastAsia="等线" w:cs="宋体"/>
                <w:kern w:val="2"/>
                <w:sz w:val="22"/>
                <w:szCs w:val="24"/>
              </w:rPr>
              <w:t>腹泻</w:t>
            </w:r>
          </w:p>
        </w:tc>
        <w:tc>
          <w:tcPr>
            <w:tcW w:w="0" w:type="auto"/>
            <w:tcMar>
              <w:top w:w="15" w:type="dxa"/>
              <w:left w:w="15" w:type="dxa"/>
              <w:bottom w:w="15" w:type="dxa"/>
              <w:right w:w="15" w:type="dxa"/>
            </w:tcMar>
            <w:vAlign w:val="center"/>
            <w:hideMark/>
          </w:tcPr>
          <w:p w14:paraId="42A86CDB"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264E945"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0455E27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DDEE139"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53444B45" w14:textId="77777777">
            <w:r>
              <w:rPr>
                <w:rFonts w:ascii="等线" w:hAnsi="等线" w:eastAsia="等线" w:cs="宋体"/>
                <w:b/>
                <w:bCs/>
                <w:kern w:val="2"/>
                <w:sz w:val="22"/>
                <w:szCs w:val="24"/>
              </w:rPr>
              <w:t>各类检查</w:t>
            </w:r>
          </w:p>
        </w:tc>
        <w:tc>
          <w:tcPr>
            <w:tcW w:w="0" w:type="auto"/>
            <w:tcMar>
              <w:top w:w="15" w:type="dxa"/>
              <w:left w:w="15" w:type="dxa"/>
              <w:bottom w:w="15" w:type="dxa"/>
              <w:right w:w="15" w:type="dxa"/>
            </w:tcMar>
            <w:vAlign w:val="center"/>
            <w:hideMark/>
          </w:tcPr>
          <w:p w14:paraId="7E087EF6" w14:textId="77777777">
            <w:r>
              <w:rPr>
                <w:rFonts w:ascii="等线" w:hAnsi="等线" w:eastAsia="等线" w:cs="宋体"/>
                <w:kern w:val="2"/>
                <w:sz w:val="22"/>
                <w:szCs w:val="24"/>
              </w:rPr>
              <w:t>14</w:t>
            </w:r>
          </w:p>
        </w:tc>
        <w:tc>
          <w:tcPr>
            <w:tcW w:w="0" w:type="auto"/>
            <w:tcMar>
              <w:top w:w="15" w:type="dxa"/>
              <w:left w:w="15" w:type="dxa"/>
              <w:bottom w:w="15" w:type="dxa"/>
              <w:right w:w="15" w:type="dxa"/>
            </w:tcMar>
            <w:vAlign w:val="center"/>
            <w:hideMark/>
          </w:tcPr>
          <w:p w14:paraId="26FBAEF6" w14:textId="77777777">
            <w:r>
              <w:rPr>
                <w:rFonts w:ascii="等线" w:hAnsi="等线" w:eastAsia="等线" w:cs="宋体"/>
                <w:kern w:val="2"/>
                <w:sz w:val="22"/>
                <w:szCs w:val="24"/>
              </w:rPr>
              <w:t>8（40.0）</w:t>
            </w:r>
          </w:p>
        </w:tc>
        <w:tc>
          <w:tcPr>
            <w:tcW w:w="0" w:type="auto"/>
            <w:tcMar>
              <w:top w:w="15" w:type="dxa"/>
              <w:left w:w="15" w:type="dxa"/>
              <w:bottom w:w="15" w:type="dxa"/>
              <w:right w:w="15" w:type="dxa"/>
            </w:tcMar>
            <w:vAlign w:val="center"/>
            <w:hideMark/>
          </w:tcPr>
          <w:p w14:paraId="2073D621"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16EA83C3" w14:textId="77777777">
            <w:r>
              <w:rPr>
                <w:rFonts w:ascii="等线" w:hAnsi="等线" w:eastAsia="等线" w:cs="宋体"/>
                <w:kern w:val="2"/>
                <w:sz w:val="22"/>
                <w:szCs w:val="24"/>
              </w:rPr>
              <w:t>3（15.0）</w:t>
            </w:r>
          </w:p>
        </w:tc>
      </w:tr>
      <w:tr>
        <w:tc>
          <w:tcPr>
            <w:tcW w:w="0" w:type="auto"/>
            <w:tcMar>
              <w:top w:w="15" w:type="dxa"/>
              <w:left w:w="15" w:type="dxa"/>
              <w:bottom w:w="15" w:type="dxa"/>
              <w:right w:w="15" w:type="dxa"/>
            </w:tcMar>
            <w:vAlign w:val="center"/>
            <w:hideMark/>
          </w:tcPr>
          <w:p w14:paraId="10A0C730" w14:textId="77777777">
            <w:r>
              <w:rPr>
                <w:rFonts w:ascii="等线" w:hAnsi="等线" w:eastAsia="等线" w:cs="宋体"/>
                <w:kern w:val="2"/>
                <w:sz w:val="22"/>
                <w:szCs w:val="24"/>
              </w:rPr>
              <w:t>中性粒细胞计数降低</w:t>
            </w:r>
          </w:p>
        </w:tc>
        <w:tc>
          <w:tcPr>
            <w:tcW w:w="0" w:type="auto"/>
            <w:tcMar>
              <w:top w:w="15" w:type="dxa"/>
              <w:left w:w="15" w:type="dxa"/>
              <w:bottom w:w="15" w:type="dxa"/>
              <w:right w:w="15" w:type="dxa"/>
            </w:tcMar>
            <w:vAlign w:val="center"/>
            <w:hideMark/>
          </w:tcPr>
          <w:p w14:paraId="03062C52"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1EDEFBE4" w14:textId="77777777">
            <w:r>
              <w:rPr>
                <w:rFonts w:ascii="等线" w:hAnsi="等线" w:eastAsia="等线" w:cs="宋体"/>
                <w:kern w:val="2"/>
                <w:sz w:val="22"/>
                <w:szCs w:val="24"/>
              </w:rPr>
              <w:t>5（25.0）</w:t>
            </w:r>
          </w:p>
        </w:tc>
        <w:tc>
          <w:tcPr>
            <w:tcW w:w="0" w:type="auto"/>
            <w:tcMar>
              <w:top w:w="15" w:type="dxa"/>
              <w:left w:w="15" w:type="dxa"/>
              <w:bottom w:w="15" w:type="dxa"/>
              <w:right w:w="15" w:type="dxa"/>
            </w:tcMar>
            <w:vAlign w:val="center"/>
            <w:hideMark/>
          </w:tcPr>
          <w:p w14:paraId="6B7212D9"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124A0872" w14:textId="77777777">
            <w:r>
              <w:rPr>
                <w:rFonts w:ascii="等线" w:hAnsi="等线" w:eastAsia="等线" w:cs="宋体"/>
                <w:kern w:val="2"/>
                <w:sz w:val="22"/>
                <w:szCs w:val="24"/>
              </w:rPr>
              <w:t>3（15.0）</w:t>
            </w:r>
          </w:p>
        </w:tc>
      </w:tr>
      <w:tr>
        <w:tc>
          <w:tcPr>
            <w:tcW w:w="0" w:type="auto"/>
            <w:tcMar>
              <w:top w:w="15" w:type="dxa"/>
              <w:left w:w="15" w:type="dxa"/>
              <w:bottom w:w="15" w:type="dxa"/>
              <w:right w:w="15" w:type="dxa"/>
            </w:tcMar>
            <w:vAlign w:val="center"/>
            <w:hideMark/>
          </w:tcPr>
          <w:p w14:paraId="5B99796E" w14:textId="77777777">
            <w:r>
              <w:rPr>
                <w:rFonts w:ascii="等线" w:hAnsi="等线" w:eastAsia="等线" w:cs="宋体"/>
                <w:kern w:val="2"/>
                <w:sz w:val="22"/>
                <w:szCs w:val="24"/>
              </w:rPr>
              <w:t>白细胞计数降低</w:t>
            </w:r>
          </w:p>
        </w:tc>
        <w:tc>
          <w:tcPr>
            <w:tcW w:w="0" w:type="auto"/>
            <w:tcMar>
              <w:top w:w="15" w:type="dxa"/>
              <w:left w:w="15" w:type="dxa"/>
              <w:bottom w:w="15" w:type="dxa"/>
              <w:right w:w="15" w:type="dxa"/>
            </w:tcMar>
            <w:vAlign w:val="center"/>
            <w:hideMark/>
          </w:tcPr>
          <w:p w14:paraId="29D466D3"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54797BC7" w14:textId="77777777">
            <w:r>
              <w:rPr>
                <w:rFonts w:ascii="等线" w:hAnsi="等线" w:eastAsia="等线" w:cs="宋体"/>
                <w:kern w:val="2"/>
                <w:sz w:val="22"/>
                <w:szCs w:val="24"/>
              </w:rPr>
              <w:t>4（20.0）</w:t>
            </w:r>
          </w:p>
        </w:tc>
        <w:tc>
          <w:tcPr>
            <w:tcW w:w="0" w:type="auto"/>
            <w:tcMar>
              <w:top w:w="15" w:type="dxa"/>
              <w:left w:w="15" w:type="dxa"/>
              <w:bottom w:w="15" w:type="dxa"/>
              <w:right w:w="15" w:type="dxa"/>
            </w:tcMar>
            <w:vAlign w:val="center"/>
            <w:hideMark/>
          </w:tcPr>
          <w:p w14:paraId="538E53F0"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6370571"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278F7FCD" w14:textId="77777777">
            <w:r>
              <w:lastRenderedPageBreak/>
              <w:rPr>
                <w:rFonts w:ascii="等线" w:hAnsi="等线" w:eastAsia="等线" w:cs="宋体"/>
                <w:kern w:val="2"/>
                <w:sz w:val="22"/>
                <w:szCs w:val="24"/>
              </w:rPr>
              <w:t>丙氨酸氨基转移酶升高</w:t>
            </w:r>
          </w:p>
        </w:tc>
        <w:tc>
          <w:tcPr>
            <w:tcW w:w="0" w:type="auto"/>
            <w:tcMar>
              <w:top w:w="15" w:type="dxa"/>
              <w:left w:w="15" w:type="dxa"/>
              <w:bottom w:w="15" w:type="dxa"/>
              <w:right w:w="15" w:type="dxa"/>
            </w:tcMar>
            <w:vAlign w:val="center"/>
            <w:hideMark/>
          </w:tcPr>
          <w:p w14:paraId="4726A008"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2FD63477"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47A77FB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FDC4C93"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644656B6" w14:textId="77777777">
            <w:r>
              <w:rPr>
                <w:rFonts w:ascii="等线" w:hAnsi="等线" w:eastAsia="等线" w:cs="宋体"/>
                <w:kern w:val="2"/>
                <w:sz w:val="22"/>
                <w:szCs w:val="24"/>
              </w:rPr>
              <w:t>天门冬氨酸氨基转移酶升高</w:t>
            </w:r>
          </w:p>
        </w:tc>
        <w:tc>
          <w:tcPr>
            <w:tcW w:w="0" w:type="auto"/>
            <w:tcMar>
              <w:top w:w="15" w:type="dxa"/>
              <w:left w:w="15" w:type="dxa"/>
              <w:bottom w:w="15" w:type="dxa"/>
              <w:right w:w="15" w:type="dxa"/>
            </w:tcMar>
            <w:vAlign w:val="center"/>
            <w:hideMark/>
          </w:tcPr>
          <w:p w14:paraId="7979710F"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2F350B3"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0B6BAD6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CE93CF6"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2666D22B" w14:textId="77777777">
            <w:r>
              <w:rPr>
                <w:rFonts w:ascii="等线" w:hAnsi="等线" w:eastAsia="等线" w:cs="宋体"/>
                <w:kern w:val="2"/>
                <w:sz w:val="22"/>
                <w:szCs w:val="24"/>
              </w:rPr>
              <w:t>血小板计数降低</w:t>
            </w:r>
          </w:p>
        </w:tc>
        <w:tc>
          <w:tcPr>
            <w:tcW w:w="0" w:type="auto"/>
            <w:tcMar>
              <w:top w:w="15" w:type="dxa"/>
              <w:left w:w="15" w:type="dxa"/>
              <w:bottom w:w="15" w:type="dxa"/>
              <w:right w:w="15" w:type="dxa"/>
            </w:tcMar>
            <w:vAlign w:val="center"/>
            <w:hideMark/>
          </w:tcPr>
          <w:p w14:paraId="519983ED"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0966FFCE"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4F703A1B"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F720776"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108D325" w14:textId="77777777">
            <w:r>
              <w:rPr>
                <w:rFonts w:ascii="等线" w:hAnsi="等线" w:eastAsia="等线" w:cs="宋体"/>
                <w:kern w:val="2"/>
                <w:sz w:val="22"/>
                <w:szCs w:val="24"/>
              </w:rPr>
              <w:t>促甲状腺激素升高</w:t>
            </w:r>
          </w:p>
        </w:tc>
        <w:tc>
          <w:tcPr>
            <w:tcW w:w="0" w:type="auto"/>
            <w:tcMar>
              <w:top w:w="15" w:type="dxa"/>
              <w:left w:w="15" w:type="dxa"/>
              <w:bottom w:w="15" w:type="dxa"/>
              <w:right w:w="15" w:type="dxa"/>
            </w:tcMar>
            <w:vAlign w:val="center"/>
            <w:hideMark/>
          </w:tcPr>
          <w:p w14:paraId="1A98DCA1"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7554CA14"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50D946F1"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A83781F"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339650F" w14:textId="77777777">
            <w:r>
              <w:rPr>
                <w:rFonts w:ascii="等线" w:hAnsi="等线" w:eastAsia="等线" w:cs="宋体"/>
                <w:b/>
                <w:bCs/>
                <w:kern w:val="2"/>
                <w:sz w:val="22"/>
                <w:szCs w:val="24"/>
              </w:rPr>
              <w:t>全身性疾病及给药部位各种反应</w:t>
            </w:r>
          </w:p>
        </w:tc>
        <w:tc>
          <w:tcPr>
            <w:tcW w:w="0" w:type="auto"/>
            <w:tcMar>
              <w:top w:w="15" w:type="dxa"/>
              <w:left w:w="15" w:type="dxa"/>
              <w:bottom w:w="15" w:type="dxa"/>
              <w:right w:w="15" w:type="dxa"/>
            </w:tcMar>
            <w:vAlign w:val="center"/>
            <w:hideMark/>
          </w:tcPr>
          <w:p w14:paraId="1BE6A93F" w14:textId="77777777">
            <w:r>
              <w:rPr>
                <w:rFonts w:ascii="等线" w:hAnsi="等线" w:eastAsia="等线" w:cs="宋体"/>
                <w:kern w:val="2"/>
                <w:sz w:val="22"/>
                <w:szCs w:val="24"/>
              </w:rPr>
              <w:t>9</w:t>
            </w:r>
          </w:p>
        </w:tc>
        <w:tc>
          <w:tcPr>
            <w:tcW w:w="0" w:type="auto"/>
            <w:tcMar>
              <w:top w:w="15" w:type="dxa"/>
              <w:left w:w="15" w:type="dxa"/>
              <w:bottom w:w="15" w:type="dxa"/>
              <w:right w:w="15" w:type="dxa"/>
            </w:tcMar>
            <w:vAlign w:val="center"/>
            <w:hideMark/>
          </w:tcPr>
          <w:p w14:paraId="7AF7A396" w14:textId="77777777">
            <w:r>
              <w:rPr>
                <w:rFonts w:ascii="等线" w:hAnsi="等线" w:eastAsia="等线" w:cs="宋体"/>
                <w:kern w:val="2"/>
                <w:sz w:val="22"/>
                <w:szCs w:val="24"/>
              </w:rPr>
              <w:t>6（30.0）</w:t>
            </w:r>
          </w:p>
        </w:tc>
        <w:tc>
          <w:tcPr>
            <w:tcW w:w="0" w:type="auto"/>
            <w:tcMar>
              <w:top w:w="15" w:type="dxa"/>
              <w:left w:w="15" w:type="dxa"/>
              <w:bottom w:w="15" w:type="dxa"/>
              <w:right w:w="15" w:type="dxa"/>
            </w:tcMar>
            <w:vAlign w:val="center"/>
            <w:hideMark/>
          </w:tcPr>
          <w:p w14:paraId="094B993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440D5A0"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3EB651C6" w14:textId="77777777">
            <w:r>
              <w:rPr>
                <w:rFonts w:ascii="等线" w:hAnsi="等线" w:eastAsia="等线" w:cs="宋体"/>
                <w:kern w:val="2"/>
                <w:sz w:val="22"/>
                <w:szCs w:val="24"/>
              </w:rPr>
              <w:t>乏力</w:t>
            </w:r>
          </w:p>
        </w:tc>
        <w:tc>
          <w:tcPr>
            <w:tcW w:w="0" w:type="auto"/>
            <w:tcMar>
              <w:top w:w="15" w:type="dxa"/>
              <w:left w:w="15" w:type="dxa"/>
              <w:bottom w:w="15" w:type="dxa"/>
              <w:right w:w="15" w:type="dxa"/>
            </w:tcMar>
            <w:vAlign w:val="center"/>
            <w:hideMark/>
          </w:tcPr>
          <w:p w14:paraId="736BE55B"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0D4AB864" w14:textId="77777777">
            <w:r>
              <w:rPr>
                <w:rFonts w:ascii="等线" w:hAnsi="等线" w:eastAsia="等线" w:cs="宋体"/>
                <w:kern w:val="2"/>
                <w:sz w:val="22"/>
                <w:szCs w:val="24"/>
              </w:rPr>
              <w:t>5（25.0）</w:t>
            </w:r>
          </w:p>
        </w:tc>
        <w:tc>
          <w:tcPr>
            <w:tcW w:w="0" w:type="auto"/>
            <w:tcMar>
              <w:top w:w="15" w:type="dxa"/>
              <w:left w:w="15" w:type="dxa"/>
              <w:bottom w:w="15" w:type="dxa"/>
              <w:right w:w="15" w:type="dxa"/>
            </w:tcMar>
            <w:vAlign w:val="center"/>
            <w:hideMark/>
          </w:tcPr>
          <w:p w14:paraId="0690903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2F8AD05"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6945E968" w14:textId="77777777">
            <w:r>
              <w:rPr>
                <w:rFonts w:ascii="等线" w:hAnsi="等线" w:eastAsia="等线" w:cs="宋体"/>
                <w:kern w:val="2"/>
                <w:sz w:val="22"/>
                <w:szCs w:val="24"/>
              </w:rPr>
              <w:t>输液相关反应</w:t>
            </w:r>
          </w:p>
        </w:tc>
        <w:tc>
          <w:tcPr>
            <w:tcW w:w="0" w:type="auto"/>
            <w:tcMar>
              <w:top w:w="15" w:type="dxa"/>
              <w:left w:w="15" w:type="dxa"/>
              <w:bottom w:w="15" w:type="dxa"/>
              <w:right w:w="15" w:type="dxa"/>
            </w:tcMar>
            <w:vAlign w:val="center"/>
            <w:hideMark/>
          </w:tcPr>
          <w:p w14:paraId="3A18291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BECA621"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50AE0CD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0306210"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6CEB29A9" w14:textId="77777777">
            <w:r>
              <w:rPr>
                <w:rFonts w:ascii="等线" w:hAnsi="等线" w:eastAsia="等线" w:cs="宋体"/>
                <w:kern w:val="2"/>
                <w:sz w:val="22"/>
                <w:szCs w:val="24"/>
              </w:rPr>
              <w:t>发热</w:t>
            </w:r>
          </w:p>
        </w:tc>
        <w:tc>
          <w:tcPr>
            <w:tcW w:w="0" w:type="auto"/>
            <w:tcMar>
              <w:top w:w="15" w:type="dxa"/>
              <w:left w:w="15" w:type="dxa"/>
              <w:bottom w:w="15" w:type="dxa"/>
              <w:right w:w="15" w:type="dxa"/>
            </w:tcMar>
            <w:vAlign w:val="center"/>
            <w:hideMark/>
          </w:tcPr>
          <w:p w14:paraId="14AA25F1"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E7E579B"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2FF3B2F8"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325AFE2"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734B51AE" w14:textId="77777777">
            <w:r>
              <w:rPr>
                <w:rFonts w:ascii="等线" w:hAnsi="等线" w:eastAsia="等线" w:cs="宋体"/>
                <w:b/>
                <w:bCs/>
                <w:kern w:val="2"/>
                <w:sz w:val="22"/>
                <w:szCs w:val="24"/>
              </w:rPr>
              <w:t>代谢及营养类疾病</w:t>
            </w:r>
          </w:p>
        </w:tc>
        <w:tc>
          <w:tcPr>
            <w:tcW w:w="0" w:type="auto"/>
            <w:tcMar>
              <w:top w:w="15" w:type="dxa"/>
              <w:left w:w="15" w:type="dxa"/>
              <w:bottom w:w="15" w:type="dxa"/>
              <w:right w:w="15" w:type="dxa"/>
            </w:tcMar>
            <w:vAlign w:val="center"/>
            <w:hideMark/>
          </w:tcPr>
          <w:p w14:paraId="2B897E8B" w14:textId="77777777">
            <w:r>
              <w:rPr>
                <w:rFonts w:ascii="等线" w:hAnsi="等线" w:eastAsia="等线" w:cs="宋体"/>
                <w:kern w:val="2"/>
                <w:sz w:val="22"/>
                <w:szCs w:val="24"/>
              </w:rPr>
              <w:t>5</w:t>
            </w:r>
          </w:p>
        </w:tc>
        <w:tc>
          <w:tcPr>
            <w:tcW w:w="0" w:type="auto"/>
            <w:tcMar>
              <w:top w:w="15" w:type="dxa"/>
              <w:left w:w="15" w:type="dxa"/>
              <w:bottom w:w="15" w:type="dxa"/>
              <w:right w:w="15" w:type="dxa"/>
            </w:tcMar>
            <w:vAlign w:val="center"/>
            <w:hideMark/>
          </w:tcPr>
          <w:p w14:paraId="54C85790" w14:textId="77777777">
            <w:r>
              <w:rPr>
                <w:rFonts w:ascii="等线" w:hAnsi="等线" w:eastAsia="等线" w:cs="宋体"/>
                <w:kern w:val="2"/>
                <w:sz w:val="22"/>
                <w:szCs w:val="24"/>
              </w:rPr>
              <w:t>4（20.0）</w:t>
            </w:r>
          </w:p>
        </w:tc>
        <w:tc>
          <w:tcPr>
            <w:tcW w:w="0" w:type="auto"/>
            <w:tcMar>
              <w:top w:w="15" w:type="dxa"/>
              <w:left w:w="15" w:type="dxa"/>
              <w:bottom w:w="15" w:type="dxa"/>
              <w:right w:w="15" w:type="dxa"/>
            </w:tcMar>
            <w:vAlign w:val="center"/>
            <w:hideMark/>
          </w:tcPr>
          <w:p w14:paraId="24D40A94"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5A68C61"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5346D537" w14:textId="77777777">
            <w:r>
              <w:rPr>
                <w:rFonts w:ascii="等线" w:hAnsi="等线" w:eastAsia="等线" w:cs="宋体"/>
                <w:kern w:val="2"/>
                <w:sz w:val="22"/>
                <w:szCs w:val="24"/>
              </w:rPr>
              <w:t>食欲下降</w:t>
            </w:r>
          </w:p>
        </w:tc>
        <w:tc>
          <w:tcPr>
            <w:tcW w:w="0" w:type="auto"/>
            <w:tcMar>
              <w:top w:w="15" w:type="dxa"/>
              <w:left w:w="15" w:type="dxa"/>
              <w:bottom w:w="15" w:type="dxa"/>
              <w:right w:w="15" w:type="dxa"/>
            </w:tcMar>
            <w:vAlign w:val="center"/>
            <w:hideMark/>
          </w:tcPr>
          <w:p w14:paraId="5F6E748C"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2B7A0956" w14:textId="77777777">
            <w:r>
              <w:rPr>
                <w:rFonts w:ascii="等线" w:hAnsi="等线" w:eastAsia="等线" w:cs="宋体"/>
                <w:kern w:val="2"/>
                <w:sz w:val="22"/>
                <w:szCs w:val="24"/>
              </w:rPr>
              <w:t>4（20.0）</w:t>
            </w:r>
          </w:p>
        </w:tc>
        <w:tc>
          <w:tcPr>
            <w:tcW w:w="0" w:type="auto"/>
            <w:tcMar>
              <w:top w:w="15" w:type="dxa"/>
              <w:left w:w="15" w:type="dxa"/>
              <w:bottom w:w="15" w:type="dxa"/>
              <w:right w:w="15" w:type="dxa"/>
            </w:tcMar>
            <w:vAlign w:val="center"/>
            <w:hideMark/>
          </w:tcPr>
          <w:p w14:paraId="03C4DFFE"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2D1CC25"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295321C1" w14:textId="77777777">
            <w:r>
              <w:rPr>
                <w:rFonts w:ascii="等线" w:hAnsi="等线" w:eastAsia="等线" w:cs="宋体"/>
                <w:kern w:val="2"/>
                <w:sz w:val="22"/>
                <w:szCs w:val="24"/>
              </w:rPr>
              <w:t>低白蛋白血症</w:t>
            </w:r>
          </w:p>
        </w:tc>
        <w:tc>
          <w:tcPr>
            <w:tcW w:w="0" w:type="auto"/>
            <w:tcMar>
              <w:top w:w="15" w:type="dxa"/>
              <w:left w:w="15" w:type="dxa"/>
              <w:bottom w:w="15" w:type="dxa"/>
              <w:right w:w="15" w:type="dxa"/>
            </w:tcMar>
            <w:vAlign w:val="center"/>
            <w:hideMark/>
          </w:tcPr>
          <w:p w14:paraId="7542ABF2"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9CB6405"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2AC8C618"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73645BFC"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9D7B4E6" w14:textId="77777777">
            <w:r>
              <w:rPr>
                <w:rFonts w:ascii="等线" w:hAnsi="等线" w:eastAsia="等线" w:cs="宋体"/>
                <w:b/>
                <w:bCs/>
                <w:kern w:val="2"/>
                <w:sz w:val="22"/>
                <w:szCs w:val="24"/>
              </w:rPr>
              <w:t>皮肤及皮下组织类疾病</w:t>
            </w:r>
          </w:p>
        </w:tc>
        <w:tc>
          <w:tcPr>
            <w:tcW w:w="0" w:type="auto"/>
            <w:tcMar>
              <w:top w:w="15" w:type="dxa"/>
              <w:left w:w="15" w:type="dxa"/>
              <w:bottom w:w="15" w:type="dxa"/>
              <w:right w:w="15" w:type="dxa"/>
            </w:tcMar>
            <w:vAlign w:val="center"/>
            <w:hideMark/>
          </w:tcPr>
          <w:p w14:paraId="034399F9"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5376A4B2"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0999263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35B1B5D"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4824642F" w14:textId="77777777">
            <w:r>
              <w:rPr>
                <w:rFonts w:ascii="等线" w:hAnsi="等线" w:eastAsia="等线" w:cs="宋体"/>
                <w:kern w:val="2"/>
                <w:sz w:val="22"/>
                <w:szCs w:val="24"/>
              </w:rPr>
              <w:t>皮疹</w:t>
            </w:r>
          </w:p>
        </w:tc>
        <w:tc>
          <w:tcPr>
            <w:tcW w:w="0" w:type="auto"/>
            <w:tcMar>
              <w:top w:w="15" w:type="dxa"/>
              <w:left w:w="15" w:type="dxa"/>
              <w:bottom w:w="15" w:type="dxa"/>
              <w:right w:w="15" w:type="dxa"/>
            </w:tcMar>
            <w:vAlign w:val="center"/>
            <w:hideMark/>
          </w:tcPr>
          <w:p w14:paraId="372444D4"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0571461F"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659BC33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39CF86A"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4400BC4" w14:textId="77777777">
            <w:r>
              <w:rPr>
                <w:rFonts w:ascii="等线" w:hAnsi="等线" w:eastAsia="等线" w:cs="宋体"/>
                <w:b/>
                <w:bCs/>
                <w:kern w:val="2"/>
                <w:sz w:val="22"/>
                <w:szCs w:val="24"/>
              </w:rPr>
              <w:t>感染及</w:t>
            </w:r>
            <w:r>
              <w:rPr>
                <w:rFonts w:ascii="等线" w:hAnsi="等线" w:eastAsia="等线" w:cs="宋体"/>
                <w:b/>
                <w:bCs/>
                <w:kern w:val="2"/>
                <w:sz w:val="22"/>
                <w:szCs w:val="24"/>
              </w:rPr>
              <w:t>侵染</w:t>
            </w:r>
            <w:r>
              <w:rPr>
                <w:rFonts w:ascii="等线" w:hAnsi="等线" w:eastAsia="等线" w:cs="宋体"/>
                <w:b/>
                <w:bCs/>
                <w:kern w:val="2"/>
                <w:sz w:val="22"/>
                <w:szCs w:val="24"/>
              </w:rPr>
              <w:t>类疾病</w:t>
            </w:r>
          </w:p>
        </w:tc>
        <w:tc>
          <w:tcPr>
            <w:tcW w:w="0" w:type="auto"/>
            <w:tcMar>
              <w:top w:w="15" w:type="dxa"/>
              <w:left w:w="15" w:type="dxa"/>
              <w:bottom w:w="15" w:type="dxa"/>
              <w:right w:w="15" w:type="dxa"/>
            </w:tcMar>
            <w:vAlign w:val="center"/>
            <w:hideMark/>
          </w:tcPr>
          <w:p w14:paraId="78100FA7"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B357561"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6CE4B98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DADEE66" w14:textId="77777777">
            <w:r>
              <w:rPr>
                <w:rFonts w:ascii="等线" w:hAnsi="等线" w:eastAsia="等线" w:cs="宋体"/>
                <w:kern w:val="2"/>
                <w:sz w:val="22"/>
                <w:szCs w:val="24"/>
              </w:rPr>
              <w:t>2（10.0）</w:t>
            </w:r>
          </w:p>
        </w:tc>
      </w:tr>
      <w:tr>
        <w:tc>
          <w:tcPr>
            <w:tcW w:w="0" w:type="auto"/>
            <w:tcMar>
              <w:top w:w="15" w:type="dxa"/>
              <w:left w:w="15" w:type="dxa"/>
              <w:bottom w:w="15" w:type="dxa"/>
              <w:right w:w="15" w:type="dxa"/>
            </w:tcMar>
            <w:vAlign w:val="center"/>
            <w:hideMark/>
          </w:tcPr>
          <w:p w14:paraId="64051C8F" w14:textId="77777777">
            <w:r>
              <w:rPr>
                <w:rFonts w:ascii="等线" w:hAnsi="等线" w:eastAsia="等线" w:cs="宋体"/>
                <w:kern w:val="2"/>
                <w:sz w:val="22"/>
                <w:szCs w:val="24"/>
              </w:rPr>
              <w:t>感染性肺炎</w:t>
            </w:r>
          </w:p>
        </w:tc>
        <w:tc>
          <w:tcPr>
            <w:tcW w:w="0" w:type="auto"/>
            <w:tcMar>
              <w:top w:w="15" w:type="dxa"/>
              <w:left w:w="15" w:type="dxa"/>
              <w:bottom w:w="15" w:type="dxa"/>
              <w:right w:w="15" w:type="dxa"/>
            </w:tcMar>
            <w:vAlign w:val="center"/>
            <w:hideMark/>
          </w:tcPr>
          <w:p w14:paraId="33258938"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420DF911"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2D18E535"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2F1DE88A" w14:textId="77777777">
            <w:r>
              <w:rPr>
                <w:rFonts w:ascii="等线" w:hAnsi="等线" w:eastAsia="等线" w:cs="宋体"/>
                <w:kern w:val="2"/>
                <w:sz w:val="22"/>
                <w:szCs w:val="24"/>
              </w:rPr>
              <w:t>2（10.0）</w:t>
            </w:r>
          </w:p>
        </w:tc>
      </w:tr>
      <w:tr>
        <w:tc>
          <w:tcPr>
            <w:tcW w:w="0" w:type="auto"/>
            <w:tcMar>
              <w:top w:w="15" w:type="dxa"/>
              <w:left w:w="15" w:type="dxa"/>
              <w:bottom w:w="15" w:type="dxa"/>
              <w:right w:w="15" w:type="dxa"/>
            </w:tcMar>
            <w:vAlign w:val="center"/>
            <w:hideMark/>
          </w:tcPr>
          <w:p w14:paraId="179B3E42" w14:textId="77777777">
            <w:r>
              <w:rPr>
                <w:rFonts w:ascii="等线" w:hAnsi="等线" w:eastAsia="等线" w:cs="宋体"/>
                <w:b/>
                <w:bCs/>
                <w:kern w:val="2"/>
                <w:sz w:val="22"/>
                <w:szCs w:val="24"/>
              </w:rPr>
              <w:t>血液及淋巴系统疾病</w:t>
            </w:r>
          </w:p>
        </w:tc>
        <w:tc>
          <w:tcPr>
            <w:tcW w:w="0" w:type="auto"/>
            <w:tcMar>
              <w:top w:w="15" w:type="dxa"/>
              <w:left w:w="15" w:type="dxa"/>
              <w:bottom w:w="15" w:type="dxa"/>
              <w:right w:w="15" w:type="dxa"/>
            </w:tcMar>
            <w:vAlign w:val="center"/>
            <w:hideMark/>
          </w:tcPr>
          <w:p w14:paraId="39B02326"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354132FC" w14:textId="77777777">
            <w:r>
              <w:rPr>
                <w:rFonts w:ascii="等线" w:hAnsi="等线" w:eastAsia="等线" w:cs="宋体"/>
                <w:kern w:val="2"/>
                <w:sz w:val="22"/>
                <w:szCs w:val="24"/>
              </w:rPr>
              <w:t>6（30.0）</w:t>
            </w:r>
          </w:p>
        </w:tc>
        <w:tc>
          <w:tcPr>
            <w:tcW w:w="0" w:type="auto"/>
            <w:tcMar>
              <w:top w:w="15" w:type="dxa"/>
              <w:left w:w="15" w:type="dxa"/>
              <w:bottom w:w="15" w:type="dxa"/>
              <w:right w:w="15" w:type="dxa"/>
            </w:tcMar>
            <w:vAlign w:val="center"/>
            <w:hideMark/>
          </w:tcPr>
          <w:p w14:paraId="214DC0A5"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EE43E47" w14:textId="77777777">
            <w:r>
              <w:rPr>
                <w:rFonts w:ascii="等线" w:hAnsi="等线" w:eastAsia="等线" w:cs="宋体"/>
                <w:kern w:val="2"/>
                <w:sz w:val="22"/>
                <w:szCs w:val="24"/>
              </w:rPr>
              <w:t>1（5.0）</w:t>
            </w:r>
          </w:p>
        </w:tc>
      </w:tr>
      <w:tr>
        <w:tc>
          <w:tcPr>
            <w:tcW w:w="0" w:type="auto"/>
            <w:tcMar>
              <w:top w:w="15" w:type="dxa"/>
              <w:left w:w="15" w:type="dxa"/>
              <w:bottom w:w="15" w:type="dxa"/>
              <w:right w:w="15" w:type="dxa"/>
            </w:tcMar>
            <w:vAlign w:val="center"/>
            <w:hideMark/>
          </w:tcPr>
          <w:p w14:paraId="123C464A" w14:textId="77777777">
            <w:r>
              <w:rPr>
                <w:rFonts w:ascii="等线" w:hAnsi="等线" w:eastAsia="等线" w:cs="宋体"/>
                <w:kern w:val="2"/>
                <w:sz w:val="22"/>
                <w:szCs w:val="24"/>
              </w:rPr>
              <w:t>贫血</w:t>
            </w:r>
          </w:p>
        </w:tc>
        <w:tc>
          <w:tcPr>
            <w:tcW w:w="0" w:type="auto"/>
            <w:tcMar>
              <w:top w:w="15" w:type="dxa"/>
              <w:left w:w="15" w:type="dxa"/>
              <w:bottom w:w="15" w:type="dxa"/>
              <w:right w:w="15" w:type="dxa"/>
            </w:tcMar>
            <w:vAlign w:val="center"/>
            <w:hideMark/>
          </w:tcPr>
          <w:p w14:paraId="2D613450"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0520BA15" w14:textId="77777777">
            <w:r>
              <w:rPr>
                <w:rFonts w:ascii="等线" w:hAnsi="等线" w:eastAsia="等线" w:cs="宋体"/>
                <w:kern w:val="2"/>
                <w:sz w:val="22"/>
                <w:szCs w:val="24"/>
              </w:rPr>
              <w:t>6（30.0）</w:t>
            </w:r>
          </w:p>
        </w:tc>
        <w:tc>
          <w:tcPr>
            <w:tcW w:w="0" w:type="auto"/>
            <w:tcMar>
              <w:top w:w="15" w:type="dxa"/>
              <w:left w:w="15" w:type="dxa"/>
              <w:bottom w:w="15" w:type="dxa"/>
              <w:right w:w="15" w:type="dxa"/>
            </w:tcMar>
            <w:vAlign w:val="center"/>
            <w:hideMark/>
          </w:tcPr>
          <w:p w14:paraId="538F6303"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3ED64A73" w14:textId="77777777">
            <w:r>
              <w:rPr>
                <w:rFonts w:ascii="等线" w:hAnsi="等线" w:eastAsia="等线" w:cs="宋体"/>
                <w:kern w:val="2"/>
                <w:sz w:val="22"/>
                <w:szCs w:val="24"/>
              </w:rPr>
              <w:t>1（5.0）</w:t>
            </w:r>
          </w:p>
        </w:tc>
      </w:tr>
    </w:tbl>
    <w:p w14:paraId="2AB6953B" w14:textId="77777777">
      <w:r>
        <w:rPr>
          <w:rFonts w:ascii="等线" w:hAnsi="等线" w:eastAsia="等线" w:cs="宋体"/>
          <w:kern w:val="2"/>
          <w:sz w:val="22"/>
          <w:szCs w:val="24"/>
        </w:rPr>
        <w:t>注：数据截至2023年11月30日，OOJ-VT8802-02研究仍在进行中。ADR定义为研究者判断与VT8802、</w:t>
      </w:r>
      <w:r>
        <w:rPr>
          <w:rFonts w:ascii="等线" w:hAnsi="等线" w:eastAsia="等线" w:cs="宋体"/>
          <w:kern w:val="2"/>
          <w:sz w:val="22"/>
          <w:szCs w:val="24"/>
        </w:rPr>
        <w:t>卡铂或</w:t>
      </w:r>
      <w:r>
        <w:rPr>
          <w:rFonts w:ascii="等线" w:hAnsi="等线" w:eastAsia="等线" w:cs="宋体"/>
          <w:kern w:val="2"/>
          <w:sz w:val="22"/>
          <w:szCs w:val="24"/>
        </w:rPr>
        <w:t>培</w:t>
      </w:r>
      <w:r>
        <w:rPr>
          <w:rFonts w:ascii="等线" w:hAnsi="等线" w:eastAsia="等线" w:cs="宋体"/>
          <w:kern w:val="2"/>
          <w:sz w:val="22"/>
          <w:szCs w:val="24"/>
        </w:rPr>
        <w:t>美曲塞中</w:t>
      </w:r>
      <w:r>
        <w:rPr>
          <w:rFonts w:ascii="等线" w:hAnsi="等线" w:eastAsia="等线" w:cs="宋体"/>
          <w:kern w:val="2"/>
          <w:sz w:val="22"/>
          <w:szCs w:val="24"/>
        </w:rPr>
        <w:t>至少一项研究治疗相关的TEAE。同</w:t>
      </w:r>
      <w:r>
        <w:rPr>
          <w:rFonts w:ascii="等线" w:hAnsi="等线" w:eastAsia="等线" w:cs="宋体"/>
          <w:kern w:val="2"/>
          <w:sz w:val="22"/>
          <w:szCs w:val="24"/>
        </w:rPr>
        <w:t>一试验</w:t>
      </w:r>
      <w:r>
        <w:rPr>
          <w:rFonts w:ascii="等线" w:hAnsi="等线" w:eastAsia="等线" w:cs="宋体"/>
          <w:kern w:val="2"/>
          <w:sz w:val="22"/>
          <w:szCs w:val="24"/>
        </w:rPr>
        <w:t>参与者可发生多个SOC或PT下的不良反应，因此各SOC或PT的例数合计不等于“所有ADR”例数。</w:t>
      </w:r>
    </w:p>
    <w:p w14:paraId="3987C0E4" w14:textId="77777777">
      <w:r>
        <w:rPr>
          <w:rFonts w:ascii="等线" w:hAnsi="等线" w:eastAsia="等线" w:cs="宋体"/>
          <w:kern w:val="2"/>
          <w:sz w:val="22"/>
          <w:szCs w:val="24"/>
        </w:rPr>
        <w:t xml:space="preserve">表3     OOJ-VT8802-02研究中与VT8802相关的不良反应发生情况汇总</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3143"/>
        <w:gridCol w:w="869"/>
        <w:gridCol w:w="1419"/>
        <w:gridCol w:w="1155"/>
        <w:gridCol w:w="1720"/>
      </w:tblGrid>
      <w:tr>
        <w:trPr>
          <w:tblHeader/>
        </w:trPr>
        <w:tc>
          <w:tcPr>
            <w:tcW w:w="0" w:type="auto"/>
            <w:tcMar>
              <w:top w:w="15" w:type="dxa"/>
              <w:left w:w="15" w:type="dxa"/>
              <w:bottom w:w="15" w:type="dxa"/>
              <w:right w:w="15" w:type="dxa"/>
            </w:tcMar>
            <w:vAlign w:val="center"/>
            <w:hideMark/>
          </w:tcPr>
          <w:p w14:paraId="27FFB71B" w14:textId="77777777">
            <w:pPr>
              <w:rPr>
                <w:b/>
                <w:bCs/>
              </w:rPr>
            </w:pPr>
            <w:r>
              <w:lastRenderedPageBreak/>
              <w:rPr>
                <w:rFonts w:ascii="等线" w:hAnsi="等线" w:eastAsia="等线" w:cs="宋体"/>
                <w:b/>
                <w:bCs/>
                <w:kern w:val="2"/>
                <w:sz w:val="22"/>
                <w:szCs w:val="24"/>
              </w:rPr>
              <w:t>不良反应（SOC/PT）（N=20）</w:t>
            </w:r>
          </w:p>
        </w:tc>
        <w:tc>
          <w:tcPr>
            <w:tcW w:w="0" w:type="auto"/>
            <w:tcMar>
              <w:top w:w="15" w:type="dxa"/>
              <w:left w:w="15" w:type="dxa"/>
              <w:bottom w:w="15" w:type="dxa"/>
              <w:right w:w="15" w:type="dxa"/>
            </w:tcMar>
            <w:vAlign w:val="center"/>
            <w:hideMark/>
          </w:tcPr>
          <w:p w14:paraId="18205D34" w14:textId="77777777">
            <w:pPr>
              <w:rPr>
                <w:b/>
                <w:bCs/>
              </w:rPr>
            </w:pPr>
            <w:r>
              <w:rPr>
                <w:rFonts w:ascii="等线" w:hAnsi="等线" w:eastAsia="等线" w:cs="宋体"/>
                <w:b/>
                <w:bCs/>
                <w:kern w:val="2"/>
                <w:sz w:val="22"/>
                <w:szCs w:val="24"/>
              </w:rPr>
              <w:t>All 例次</w:t>
            </w:r>
          </w:p>
        </w:tc>
        <w:tc>
          <w:tcPr>
            <w:tcW w:w="0" w:type="auto"/>
            <w:tcMar>
              <w:top w:w="15" w:type="dxa"/>
              <w:left w:w="15" w:type="dxa"/>
              <w:bottom w:w="15" w:type="dxa"/>
              <w:right w:w="15" w:type="dxa"/>
            </w:tcMar>
            <w:vAlign w:val="center"/>
            <w:hideMark/>
          </w:tcPr>
          <w:p w14:paraId="2CA457ED" w14:textId="77777777">
            <w:pPr>
              <w:rPr>
                <w:b/>
                <w:bCs/>
              </w:rPr>
            </w:pPr>
            <w:r>
              <w:rPr>
                <w:rFonts w:ascii="等线" w:hAnsi="等线" w:eastAsia="等线" w:cs="宋体"/>
                <w:b/>
                <w:bCs/>
                <w:kern w:val="2"/>
                <w:sz w:val="22"/>
                <w:szCs w:val="24"/>
              </w:rPr>
              <w:t>All 例数（%）</w:t>
            </w:r>
          </w:p>
        </w:tc>
        <w:tc>
          <w:tcPr>
            <w:tcW w:w="0" w:type="auto"/>
            <w:tcMar>
              <w:top w:w="15" w:type="dxa"/>
              <w:left w:w="15" w:type="dxa"/>
              <w:bottom w:w="15" w:type="dxa"/>
              <w:right w:w="15" w:type="dxa"/>
            </w:tcMar>
            <w:vAlign w:val="center"/>
            <w:hideMark/>
          </w:tcPr>
          <w:p w14:paraId="37CDF63D" w14:textId="77777777">
            <w:pPr>
              <w:rPr>
                <w:b/>
                <w:bCs/>
              </w:rPr>
            </w:pPr>
            <w:r>
              <w:rPr>
                <w:rFonts w:ascii="等线" w:hAnsi="等线" w:eastAsia="等线" w:cs="宋体"/>
                <w:b/>
                <w:bCs/>
                <w:kern w:val="2"/>
                <w:sz w:val="22"/>
                <w:szCs w:val="24"/>
              </w:rPr>
              <w:t>≥3级 例次</w:t>
            </w:r>
          </w:p>
        </w:tc>
        <w:tc>
          <w:tcPr>
            <w:tcW w:w="0" w:type="auto"/>
            <w:tcMar>
              <w:top w:w="15" w:type="dxa"/>
              <w:left w:w="15" w:type="dxa"/>
              <w:bottom w:w="15" w:type="dxa"/>
              <w:right w:w="15" w:type="dxa"/>
            </w:tcMar>
            <w:vAlign w:val="center"/>
            <w:hideMark/>
          </w:tcPr>
          <w:p w14:paraId="736C6583" w14:textId="77777777">
            <w:pPr>
              <w:rPr>
                <w:b/>
                <w:bCs/>
              </w:rPr>
            </w:pPr>
            <w:r>
              <w:rPr>
                <w:rFonts w:ascii="等线" w:hAnsi="等线" w:eastAsia="等线" w:cs="宋体"/>
                <w:b/>
                <w:bCs/>
                <w:kern w:val="2"/>
                <w:sz w:val="22"/>
                <w:szCs w:val="24"/>
              </w:rPr>
              <w:t>≥3级 例数（%）</w:t>
            </w:r>
          </w:p>
        </w:tc>
      </w:tr>
      <w:tr>
        <w:tc>
          <w:tcPr>
            <w:tcW w:w="0" w:type="auto"/>
            <w:tcMar>
              <w:top w:w="15" w:type="dxa"/>
              <w:left w:w="15" w:type="dxa"/>
              <w:bottom w:w="15" w:type="dxa"/>
              <w:right w:w="15" w:type="dxa"/>
            </w:tcMar>
            <w:vAlign w:val="center"/>
            <w:hideMark/>
          </w:tcPr>
          <w:p w14:paraId="4EC35110" w14:textId="77777777">
            <w:r>
              <w:rPr>
                <w:rFonts w:ascii="等线" w:hAnsi="等线" w:eastAsia="等线" w:cs="宋体"/>
                <w:kern w:val="2"/>
                <w:sz w:val="22"/>
                <w:szCs w:val="24"/>
              </w:rPr>
              <w:t>所有与VT8802相关的ADR</w:t>
            </w:r>
          </w:p>
        </w:tc>
        <w:tc>
          <w:tcPr>
            <w:tcW w:w="0" w:type="auto"/>
            <w:tcMar>
              <w:top w:w="15" w:type="dxa"/>
              <w:left w:w="15" w:type="dxa"/>
              <w:bottom w:w="15" w:type="dxa"/>
              <w:right w:w="15" w:type="dxa"/>
            </w:tcMar>
            <w:vAlign w:val="center"/>
            <w:hideMark/>
          </w:tcPr>
          <w:p w14:paraId="3609B139" w14:textId="77777777">
            <w:r>
              <w:rPr>
                <w:rFonts w:ascii="等线" w:hAnsi="等线" w:eastAsia="等线" w:cs="宋体"/>
                <w:kern w:val="2"/>
                <w:sz w:val="22"/>
                <w:szCs w:val="24"/>
              </w:rPr>
              <w:t>16</w:t>
            </w:r>
          </w:p>
        </w:tc>
        <w:tc>
          <w:tcPr>
            <w:tcW w:w="0" w:type="auto"/>
            <w:tcMar>
              <w:top w:w="15" w:type="dxa"/>
              <w:left w:w="15" w:type="dxa"/>
              <w:bottom w:w="15" w:type="dxa"/>
              <w:right w:w="15" w:type="dxa"/>
            </w:tcMar>
            <w:vAlign w:val="center"/>
            <w:hideMark/>
          </w:tcPr>
          <w:p w14:paraId="2CE0AC74" w14:textId="77777777">
            <w:r>
              <w:rPr>
                <w:rFonts w:ascii="等线" w:hAnsi="等线" w:eastAsia="等线" w:cs="宋体"/>
                <w:kern w:val="2"/>
                <w:sz w:val="22"/>
                <w:szCs w:val="24"/>
              </w:rPr>
              <w:t>8（40.0）</w:t>
            </w:r>
          </w:p>
        </w:tc>
        <w:tc>
          <w:tcPr>
            <w:tcW w:w="0" w:type="auto"/>
            <w:tcMar>
              <w:top w:w="15" w:type="dxa"/>
              <w:left w:w="15" w:type="dxa"/>
              <w:bottom w:w="15" w:type="dxa"/>
              <w:right w:w="15" w:type="dxa"/>
            </w:tcMar>
            <w:vAlign w:val="center"/>
            <w:hideMark/>
          </w:tcPr>
          <w:p w14:paraId="4244A253"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E142F3B" w14:textId="77777777">
            <w:r>
              <w:rPr>
                <w:rFonts w:ascii="等线" w:hAnsi="等线" w:eastAsia="等线" w:cs="宋体"/>
                <w:kern w:val="2"/>
                <w:sz w:val="22"/>
                <w:szCs w:val="24"/>
              </w:rPr>
              <w:t>2（10.0）</w:t>
            </w:r>
          </w:p>
        </w:tc>
      </w:tr>
      <w:tr>
        <w:tc>
          <w:tcPr>
            <w:tcW w:w="0" w:type="auto"/>
            <w:tcMar>
              <w:top w:w="15" w:type="dxa"/>
              <w:left w:w="15" w:type="dxa"/>
              <w:bottom w:w="15" w:type="dxa"/>
              <w:right w:w="15" w:type="dxa"/>
            </w:tcMar>
            <w:vAlign w:val="center"/>
            <w:hideMark/>
          </w:tcPr>
          <w:p w14:paraId="7FFB60E6" w14:textId="77777777">
            <w:r>
              <w:rPr>
                <w:rFonts w:ascii="等线" w:hAnsi="等线" w:eastAsia="等线" w:cs="宋体"/>
                <w:b/>
                <w:bCs/>
                <w:kern w:val="2"/>
                <w:sz w:val="22"/>
                <w:szCs w:val="24"/>
              </w:rPr>
              <w:t>皮肤及皮下组织类疾病</w:t>
            </w:r>
          </w:p>
        </w:tc>
        <w:tc>
          <w:tcPr>
            <w:tcW w:w="0" w:type="auto"/>
            <w:tcMar>
              <w:top w:w="15" w:type="dxa"/>
              <w:left w:w="15" w:type="dxa"/>
              <w:bottom w:w="15" w:type="dxa"/>
              <w:right w:w="15" w:type="dxa"/>
            </w:tcMar>
            <w:vAlign w:val="center"/>
            <w:hideMark/>
          </w:tcPr>
          <w:p w14:paraId="69C15DF9"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3A3F1491"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2104C2DD"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EB45700"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30120B94" w14:textId="77777777">
            <w:r>
              <w:rPr>
                <w:rFonts w:ascii="等线" w:hAnsi="等线" w:eastAsia="等线" w:cs="宋体"/>
                <w:kern w:val="2"/>
                <w:sz w:val="22"/>
                <w:szCs w:val="24"/>
              </w:rPr>
              <w:t>皮疹</w:t>
            </w:r>
          </w:p>
        </w:tc>
        <w:tc>
          <w:tcPr>
            <w:tcW w:w="0" w:type="auto"/>
            <w:tcMar>
              <w:top w:w="15" w:type="dxa"/>
              <w:left w:w="15" w:type="dxa"/>
              <w:bottom w:w="15" w:type="dxa"/>
              <w:right w:w="15" w:type="dxa"/>
            </w:tcMar>
            <w:vAlign w:val="center"/>
            <w:hideMark/>
          </w:tcPr>
          <w:p w14:paraId="3F530CE6" w14:textId="77777777">
            <w:r>
              <w:rPr>
                <w:rFonts w:ascii="等线" w:hAnsi="等线" w:eastAsia="等线" w:cs="宋体"/>
                <w:kern w:val="2"/>
                <w:sz w:val="22"/>
                <w:szCs w:val="24"/>
              </w:rPr>
              <w:t>3</w:t>
            </w:r>
          </w:p>
        </w:tc>
        <w:tc>
          <w:tcPr>
            <w:tcW w:w="0" w:type="auto"/>
            <w:tcMar>
              <w:top w:w="15" w:type="dxa"/>
              <w:left w:w="15" w:type="dxa"/>
              <w:bottom w:w="15" w:type="dxa"/>
              <w:right w:w="15" w:type="dxa"/>
            </w:tcMar>
            <w:vAlign w:val="center"/>
            <w:hideMark/>
          </w:tcPr>
          <w:p w14:paraId="7022AF1D"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7DA4EA6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3AC0C5BC" w14:textId="77777777">
            <w:r>
              <w:rPr>
                <w:rFonts w:ascii="等线" w:hAnsi="等线" w:eastAsia="等线" w:cs="宋体"/>
                <w:kern w:val="2"/>
                <w:sz w:val="22"/>
                <w:szCs w:val="24"/>
              </w:rPr>
              <w:t>0</w:t>
            </w:r>
          </w:p>
        </w:tc>
      </w:tr>
      <w:tr>
        <w:trPr>
          <w:trHeight w:val="480"/>
        </w:trPr>
        <w:tc>
          <w:tcPr>
            <w:tcW w:w="0" w:type="auto"/>
            <w:tcMar>
              <w:top w:w="15" w:type="dxa"/>
              <w:left w:w="15" w:type="dxa"/>
              <w:bottom w:w="15" w:type="dxa"/>
              <w:right w:w="15" w:type="dxa"/>
            </w:tcMar>
            <w:vAlign w:val="center"/>
            <w:hideMark/>
          </w:tcPr>
          <w:p w14:paraId="7E442466" w14:textId="77777777">
            <w:r>
              <w:rPr>
                <w:rFonts w:ascii="等线" w:hAnsi="等线" w:eastAsia="等线" w:cs="宋体"/>
                <w:b/>
                <w:bCs/>
                <w:kern w:val="2"/>
                <w:sz w:val="22"/>
                <w:szCs w:val="24"/>
              </w:rPr>
              <w:t>全身性疾病及给药部位各种反应</w:t>
            </w:r>
          </w:p>
        </w:tc>
        <w:tc>
          <w:tcPr>
            <w:tcW w:w="0" w:type="auto"/>
            <w:tcMar>
              <w:top w:w="15" w:type="dxa"/>
              <w:left w:w="15" w:type="dxa"/>
              <w:bottom w:w="15" w:type="dxa"/>
              <w:right w:w="15" w:type="dxa"/>
            </w:tcMar>
            <w:vAlign w:val="center"/>
            <w:hideMark/>
          </w:tcPr>
          <w:p w14:paraId="17356474" w14:textId="77777777">
            <w:r>
              <w:rPr>
                <w:rFonts w:ascii="等线" w:hAnsi="等线" w:eastAsia="等线" w:cs="宋体"/>
                <w:kern w:val="2"/>
                <w:sz w:val="22"/>
                <w:szCs w:val="24"/>
              </w:rPr>
              <w:t>6</w:t>
            </w:r>
          </w:p>
        </w:tc>
        <w:tc>
          <w:tcPr>
            <w:tcW w:w="0" w:type="auto"/>
            <w:tcMar>
              <w:top w:w="15" w:type="dxa"/>
              <w:left w:w="15" w:type="dxa"/>
              <w:bottom w:w="15" w:type="dxa"/>
              <w:right w:w="15" w:type="dxa"/>
            </w:tcMar>
            <w:vAlign w:val="center"/>
            <w:hideMark/>
          </w:tcPr>
          <w:p w14:paraId="765B724E" w14:textId="77777777">
            <w:r>
              <w:rPr>
                <w:rFonts w:ascii="等线" w:hAnsi="等线" w:eastAsia="等线" w:cs="宋体"/>
                <w:kern w:val="2"/>
                <w:sz w:val="22"/>
                <w:szCs w:val="24"/>
              </w:rPr>
              <w:t>4（20.0）</w:t>
            </w:r>
          </w:p>
        </w:tc>
        <w:tc>
          <w:tcPr>
            <w:tcW w:w="0" w:type="auto"/>
            <w:tcMar>
              <w:top w:w="15" w:type="dxa"/>
              <w:left w:w="15" w:type="dxa"/>
              <w:bottom w:w="15" w:type="dxa"/>
              <w:right w:w="15" w:type="dxa"/>
            </w:tcMar>
            <w:vAlign w:val="center"/>
            <w:hideMark/>
          </w:tcPr>
          <w:p w14:paraId="2D3D151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B5E1B66"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38A28547" w14:textId="77777777">
            <w:r>
              <w:rPr>
                <w:rFonts w:ascii="等线" w:hAnsi="等线" w:eastAsia="等线" w:cs="宋体"/>
                <w:kern w:val="2"/>
                <w:sz w:val="22"/>
                <w:szCs w:val="24"/>
              </w:rPr>
              <w:t>输液相关反应</w:t>
            </w:r>
          </w:p>
        </w:tc>
        <w:tc>
          <w:tcPr>
            <w:tcW w:w="0" w:type="auto"/>
            <w:tcMar>
              <w:top w:w="15" w:type="dxa"/>
              <w:left w:w="15" w:type="dxa"/>
              <w:bottom w:w="15" w:type="dxa"/>
              <w:right w:w="15" w:type="dxa"/>
            </w:tcMar>
            <w:vAlign w:val="center"/>
            <w:hideMark/>
          </w:tcPr>
          <w:p w14:paraId="4DDFB5D5"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A4F7955"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75EE7A42"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8D521A6"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493396D2" w14:textId="77777777">
            <w:r>
              <w:rPr>
                <w:rFonts w:ascii="等线" w:hAnsi="等线" w:eastAsia="等线" w:cs="宋体"/>
                <w:kern w:val="2"/>
                <w:sz w:val="22"/>
                <w:szCs w:val="24"/>
              </w:rPr>
              <w:t>发热</w:t>
            </w:r>
          </w:p>
        </w:tc>
        <w:tc>
          <w:tcPr>
            <w:tcW w:w="0" w:type="auto"/>
            <w:tcMar>
              <w:top w:w="15" w:type="dxa"/>
              <w:left w:w="15" w:type="dxa"/>
              <w:bottom w:w="15" w:type="dxa"/>
              <w:right w:w="15" w:type="dxa"/>
            </w:tcMar>
            <w:vAlign w:val="center"/>
            <w:hideMark/>
          </w:tcPr>
          <w:p w14:paraId="5B2DCCD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0717D95B"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38FA2098"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6EC14B52"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51785FBF" w14:textId="77777777">
            <w:r>
              <w:rPr>
                <w:rFonts w:ascii="等线" w:hAnsi="等线" w:eastAsia="等线" w:cs="宋体"/>
                <w:kern w:val="2"/>
                <w:sz w:val="22"/>
                <w:szCs w:val="24"/>
              </w:rPr>
              <w:t>乏力</w:t>
            </w:r>
          </w:p>
        </w:tc>
        <w:tc>
          <w:tcPr>
            <w:tcW w:w="0" w:type="auto"/>
            <w:tcMar>
              <w:top w:w="15" w:type="dxa"/>
              <w:left w:w="15" w:type="dxa"/>
              <w:bottom w:w="15" w:type="dxa"/>
              <w:right w:w="15" w:type="dxa"/>
            </w:tcMar>
            <w:vAlign w:val="center"/>
            <w:hideMark/>
          </w:tcPr>
          <w:p w14:paraId="11FE048C"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59012063"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1B445247"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7153F3E"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87C1151" w14:textId="77777777">
            <w:r>
              <w:rPr>
                <w:rFonts w:ascii="等线" w:hAnsi="等线" w:eastAsia="等线" w:cs="宋体"/>
                <w:b/>
                <w:bCs/>
                <w:kern w:val="2"/>
                <w:sz w:val="22"/>
                <w:szCs w:val="24"/>
              </w:rPr>
              <w:t>各类检查</w:t>
            </w:r>
          </w:p>
        </w:tc>
        <w:tc>
          <w:tcPr>
            <w:tcW w:w="0" w:type="auto"/>
            <w:tcMar>
              <w:top w:w="15" w:type="dxa"/>
              <w:left w:w="15" w:type="dxa"/>
              <w:bottom w:w="15" w:type="dxa"/>
              <w:right w:w="15" w:type="dxa"/>
            </w:tcMar>
            <w:vAlign w:val="center"/>
            <w:hideMark/>
          </w:tcPr>
          <w:p w14:paraId="6AB11B21" w14:textId="77777777">
            <w:r>
              <w:rPr>
                <w:rFonts w:ascii="等线" w:hAnsi="等线" w:eastAsia="等线" w:cs="宋体"/>
                <w:kern w:val="2"/>
                <w:sz w:val="22"/>
                <w:szCs w:val="24"/>
              </w:rPr>
              <w:t>4</w:t>
            </w:r>
          </w:p>
        </w:tc>
        <w:tc>
          <w:tcPr>
            <w:tcW w:w="0" w:type="auto"/>
            <w:tcMar>
              <w:top w:w="15" w:type="dxa"/>
              <w:left w:w="15" w:type="dxa"/>
              <w:bottom w:w="15" w:type="dxa"/>
              <w:right w:w="15" w:type="dxa"/>
            </w:tcMar>
            <w:vAlign w:val="center"/>
            <w:hideMark/>
          </w:tcPr>
          <w:p w14:paraId="276A9E80" w14:textId="77777777">
            <w:r>
              <w:rPr>
                <w:rFonts w:ascii="等线" w:hAnsi="等线" w:eastAsia="等线" w:cs="宋体"/>
                <w:kern w:val="2"/>
                <w:sz w:val="22"/>
                <w:szCs w:val="24"/>
              </w:rPr>
              <w:t>3（15.0）</w:t>
            </w:r>
          </w:p>
        </w:tc>
        <w:tc>
          <w:tcPr>
            <w:tcW w:w="0" w:type="auto"/>
            <w:tcMar>
              <w:top w:w="15" w:type="dxa"/>
              <w:left w:w="15" w:type="dxa"/>
              <w:bottom w:w="15" w:type="dxa"/>
              <w:right w:w="15" w:type="dxa"/>
            </w:tcMar>
            <w:vAlign w:val="center"/>
            <w:hideMark/>
          </w:tcPr>
          <w:p w14:paraId="404F625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407CE5F8"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BF13ADC" w14:textId="77777777">
            <w:r>
              <w:rPr>
                <w:rFonts w:ascii="等线" w:hAnsi="等线" w:eastAsia="等线" w:cs="宋体"/>
                <w:kern w:val="2"/>
                <w:sz w:val="22"/>
                <w:szCs w:val="24"/>
              </w:rPr>
              <w:t>丙氨酸氨基转移酶升高</w:t>
            </w:r>
          </w:p>
        </w:tc>
        <w:tc>
          <w:tcPr>
            <w:tcW w:w="0" w:type="auto"/>
            <w:tcMar>
              <w:top w:w="15" w:type="dxa"/>
              <w:left w:w="15" w:type="dxa"/>
              <w:bottom w:w="15" w:type="dxa"/>
              <w:right w:w="15" w:type="dxa"/>
            </w:tcMar>
            <w:vAlign w:val="center"/>
            <w:hideMark/>
          </w:tcPr>
          <w:p w14:paraId="106BC9B0"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2252E85"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37766608"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5434FFD8"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33081117" w14:textId="77777777">
            <w:r>
              <w:rPr>
                <w:rFonts w:ascii="等线" w:hAnsi="等线" w:eastAsia="等线" w:cs="宋体"/>
                <w:kern w:val="2"/>
                <w:sz w:val="22"/>
                <w:szCs w:val="24"/>
              </w:rPr>
              <w:t>天门冬氨酸氨基转移酶升高</w:t>
            </w:r>
          </w:p>
        </w:tc>
        <w:tc>
          <w:tcPr>
            <w:tcW w:w="0" w:type="auto"/>
            <w:tcMar>
              <w:top w:w="15" w:type="dxa"/>
              <w:left w:w="15" w:type="dxa"/>
              <w:bottom w:w="15" w:type="dxa"/>
              <w:right w:w="15" w:type="dxa"/>
            </w:tcMar>
            <w:vAlign w:val="center"/>
            <w:hideMark/>
          </w:tcPr>
          <w:p w14:paraId="57848089"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143F82A"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7794286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9DF5D74"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75283CDD" w14:textId="77777777">
            <w:r>
              <w:rPr>
                <w:rFonts w:ascii="等线" w:hAnsi="等线" w:eastAsia="等线" w:cs="宋体"/>
                <w:kern w:val="2"/>
                <w:sz w:val="22"/>
                <w:szCs w:val="24"/>
              </w:rPr>
              <w:t>促甲状腺激素升高</w:t>
            </w:r>
          </w:p>
        </w:tc>
        <w:tc>
          <w:tcPr>
            <w:tcW w:w="0" w:type="auto"/>
            <w:tcMar>
              <w:top w:w="15" w:type="dxa"/>
              <w:left w:w="15" w:type="dxa"/>
              <w:bottom w:w="15" w:type="dxa"/>
              <w:right w:w="15" w:type="dxa"/>
            </w:tcMar>
            <w:vAlign w:val="center"/>
            <w:hideMark/>
          </w:tcPr>
          <w:p w14:paraId="23B3E10C"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46CD5F74"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4FD3B3AA"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07A06863"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0D61BFE3" w14:textId="77777777">
            <w:r>
              <w:rPr>
                <w:rFonts w:ascii="等线" w:hAnsi="等线" w:eastAsia="等线" w:cs="宋体"/>
                <w:b/>
                <w:bCs/>
                <w:kern w:val="2"/>
                <w:sz w:val="22"/>
                <w:szCs w:val="24"/>
              </w:rPr>
              <w:t>胃肠系统疾病</w:t>
            </w:r>
          </w:p>
        </w:tc>
        <w:tc>
          <w:tcPr>
            <w:tcW w:w="0" w:type="auto"/>
            <w:tcMar>
              <w:top w:w="15" w:type="dxa"/>
              <w:left w:w="15" w:type="dxa"/>
              <w:bottom w:w="15" w:type="dxa"/>
              <w:right w:w="15" w:type="dxa"/>
            </w:tcMar>
            <w:vAlign w:val="center"/>
            <w:hideMark/>
          </w:tcPr>
          <w:p w14:paraId="7A0B2DE5"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19ECA081"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25D64783"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28822D7B"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129751A7" w14:textId="77777777">
            <w:r>
              <w:rPr>
                <w:rFonts w:ascii="等线" w:hAnsi="等线" w:eastAsia="等线" w:cs="宋体"/>
                <w:kern w:val="2"/>
                <w:sz w:val="22"/>
                <w:szCs w:val="24"/>
              </w:rPr>
              <w:t>腹泻</w:t>
            </w:r>
          </w:p>
        </w:tc>
        <w:tc>
          <w:tcPr>
            <w:tcW w:w="0" w:type="auto"/>
            <w:tcMar>
              <w:top w:w="15" w:type="dxa"/>
              <w:left w:w="15" w:type="dxa"/>
              <w:bottom w:w="15" w:type="dxa"/>
              <w:right w:w="15" w:type="dxa"/>
            </w:tcMar>
            <w:vAlign w:val="center"/>
            <w:hideMark/>
          </w:tcPr>
          <w:p w14:paraId="5224383A" w14:textId="77777777">
            <w:r>
              <w:rPr>
                <w:rFonts w:ascii="等线" w:hAnsi="等线" w:eastAsia="等线" w:cs="宋体"/>
                <w:kern w:val="2"/>
                <w:sz w:val="22"/>
                <w:szCs w:val="24"/>
              </w:rPr>
              <w:t>1</w:t>
            </w:r>
          </w:p>
        </w:tc>
        <w:tc>
          <w:tcPr>
            <w:tcW w:w="0" w:type="auto"/>
            <w:tcMar>
              <w:top w:w="15" w:type="dxa"/>
              <w:left w:w="15" w:type="dxa"/>
              <w:bottom w:w="15" w:type="dxa"/>
              <w:right w:w="15" w:type="dxa"/>
            </w:tcMar>
            <w:vAlign w:val="center"/>
            <w:hideMark/>
          </w:tcPr>
          <w:p w14:paraId="528DEAA0" w14:textId="77777777">
            <w:r>
              <w:rPr>
                <w:rFonts w:ascii="等线" w:hAnsi="等线" w:eastAsia="等线" w:cs="宋体"/>
                <w:kern w:val="2"/>
                <w:sz w:val="22"/>
                <w:szCs w:val="24"/>
              </w:rPr>
              <w:t>1（5.0）</w:t>
            </w:r>
          </w:p>
        </w:tc>
        <w:tc>
          <w:tcPr>
            <w:tcW w:w="0" w:type="auto"/>
            <w:tcMar>
              <w:top w:w="15" w:type="dxa"/>
              <w:left w:w="15" w:type="dxa"/>
              <w:bottom w:w="15" w:type="dxa"/>
              <w:right w:w="15" w:type="dxa"/>
            </w:tcMar>
            <w:vAlign w:val="center"/>
            <w:hideMark/>
          </w:tcPr>
          <w:p w14:paraId="296EE8FF" w14:textId="77777777">
            <w:r>
              <w:rPr>
                <w:rFonts w:ascii="等线" w:hAnsi="等线" w:eastAsia="等线" w:cs="宋体"/>
                <w:kern w:val="2"/>
                <w:sz w:val="22"/>
                <w:szCs w:val="24"/>
              </w:rPr>
              <w:t>0</w:t>
            </w:r>
          </w:p>
        </w:tc>
        <w:tc>
          <w:tcPr>
            <w:tcW w:w="0" w:type="auto"/>
            <w:tcMar>
              <w:top w:w="15" w:type="dxa"/>
              <w:left w:w="15" w:type="dxa"/>
              <w:bottom w:w="15" w:type="dxa"/>
              <w:right w:w="15" w:type="dxa"/>
            </w:tcMar>
            <w:vAlign w:val="center"/>
            <w:hideMark/>
          </w:tcPr>
          <w:p w14:paraId="1EED558E" w14:textId="77777777">
            <w:r>
              <w:rPr>
                <w:rFonts w:ascii="等线" w:hAnsi="等线" w:eastAsia="等线" w:cs="宋体"/>
                <w:kern w:val="2"/>
                <w:sz w:val="22"/>
                <w:szCs w:val="24"/>
              </w:rPr>
              <w:t>0</w:t>
            </w:r>
          </w:p>
        </w:tc>
      </w:tr>
      <w:tr>
        <w:tc>
          <w:tcPr>
            <w:tcW w:w="0" w:type="auto"/>
            <w:tcMar>
              <w:top w:w="15" w:type="dxa"/>
              <w:left w:w="15" w:type="dxa"/>
              <w:bottom w:w="15" w:type="dxa"/>
              <w:right w:w="15" w:type="dxa"/>
            </w:tcMar>
            <w:vAlign w:val="center"/>
            <w:hideMark/>
          </w:tcPr>
          <w:p w14:paraId="70CCF4ED" w14:textId="77777777">
            <w:r>
              <w:rPr>
                <w:rFonts w:ascii="等线" w:hAnsi="等线" w:eastAsia="等线" w:cs="宋体"/>
                <w:b/>
                <w:bCs/>
                <w:kern w:val="2"/>
                <w:sz w:val="22"/>
                <w:szCs w:val="24"/>
              </w:rPr>
              <w:t>感染及</w:t>
            </w:r>
            <w:r>
              <w:rPr>
                <w:rFonts w:ascii="等线" w:hAnsi="等线" w:eastAsia="等线" w:cs="宋体"/>
                <w:b/>
                <w:bCs/>
                <w:kern w:val="2"/>
                <w:sz w:val="22"/>
                <w:szCs w:val="24"/>
              </w:rPr>
              <w:t>侵染</w:t>
            </w:r>
            <w:r>
              <w:rPr>
                <w:rFonts w:ascii="等线" w:hAnsi="等线" w:eastAsia="等线" w:cs="宋体"/>
                <w:b/>
                <w:bCs/>
                <w:kern w:val="2"/>
                <w:sz w:val="22"/>
                <w:szCs w:val="24"/>
              </w:rPr>
              <w:t>类疾病</w:t>
            </w:r>
          </w:p>
        </w:tc>
        <w:tc>
          <w:tcPr>
            <w:tcW w:w="0" w:type="auto"/>
            <w:tcMar>
              <w:top w:w="15" w:type="dxa"/>
              <w:left w:w="15" w:type="dxa"/>
              <w:bottom w:w="15" w:type="dxa"/>
              <w:right w:w="15" w:type="dxa"/>
            </w:tcMar>
            <w:vAlign w:val="center"/>
            <w:hideMark/>
          </w:tcPr>
          <w:p w14:paraId="01DD0E14"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871D0FC"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616B2478"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66630707" w14:textId="77777777">
            <w:r>
              <w:rPr>
                <w:rFonts w:ascii="等线" w:hAnsi="等线" w:eastAsia="等线" w:cs="宋体"/>
                <w:kern w:val="2"/>
                <w:sz w:val="22"/>
                <w:szCs w:val="24"/>
              </w:rPr>
              <w:t>2（10.0）</w:t>
            </w:r>
          </w:p>
        </w:tc>
      </w:tr>
      <w:tr>
        <w:tc>
          <w:tcPr>
            <w:tcW w:w="0" w:type="auto"/>
            <w:tcMar>
              <w:top w:w="15" w:type="dxa"/>
              <w:left w:w="15" w:type="dxa"/>
              <w:bottom w:w="15" w:type="dxa"/>
              <w:right w:w="15" w:type="dxa"/>
            </w:tcMar>
            <w:vAlign w:val="center"/>
            <w:hideMark/>
          </w:tcPr>
          <w:p w14:paraId="3B4B2AD7" w14:textId="77777777">
            <w:r>
              <w:rPr>
                <w:rFonts w:ascii="等线" w:hAnsi="等线" w:eastAsia="等线" w:cs="宋体"/>
                <w:kern w:val="2"/>
                <w:sz w:val="22"/>
                <w:szCs w:val="24"/>
              </w:rPr>
              <w:t>感染性肺炎</w:t>
            </w:r>
          </w:p>
        </w:tc>
        <w:tc>
          <w:tcPr>
            <w:tcW w:w="0" w:type="auto"/>
            <w:tcMar>
              <w:top w:w="15" w:type="dxa"/>
              <w:left w:w="15" w:type="dxa"/>
              <w:bottom w:w="15" w:type="dxa"/>
              <w:right w:w="15" w:type="dxa"/>
            </w:tcMar>
            <w:vAlign w:val="center"/>
            <w:hideMark/>
          </w:tcPr>
          <w:p w14:paraId="4DB742DD"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0A8CE7B6" w14:textId="77777777">
            <w:r>
              <w:rPr>
                <w:rFonts w:ascii="等线" w:hAnsi="等线" w:eastAsia="等线" w:cs="宋体"/>
                <w:kern w:val="2"/>
                <w:sz w:val="22"/>
                <w:szCs w:val="24"/>
              </w:rPr>
              <w:t>2（10.0）</w:t>
            </w:r>
          </w:p>
        </w:tc>
        <w:tc>
          <w:tcPr>
            <w:tcW w:w="0" w:type="auto"/>
            <w:tcMar>
              <w:top w:w="15" w:type="dxa"/>
              <w:left w:w="15" w:type="dxa"/>
              <w:bottom w:w="15" w:type="dxa"/>
              <w:right w:w="15" w:type="dxa"/>
            </w:tcMar>
            <w:vAlign w:val="center"/>
            <w:hideMark/>
          </w:tcPr>
          <w:p w14:paraId="5AA1F946" w14:textId="77777777">
            <w:r>
              <w:rPr>
                <w:rFonts w:ascii="等线" w:hAnsi="等线" w:eastAsia="等线" w:cs="宋体"/>
                <w:kern w:val="2"/>
                <w:sz w:val="22"/>
                <w:szCs w:val="24"/>
              </w:rPr>
              <w:t>2</w:t>
            </w:r>
          </w:p>
        </w:tc>
        <w:tc>
          <w:tcPr>
            <w:tcW w:w="0" w:type="auto"/>
            <w:tcMar>
              <w:top w:w="15" w:type="dxa"/>
              <w:left w:w="15" w:type="dxa"/>
              <w:bottom w:w="15" w:type="dxa"/>
              <w:right w:w="15" w:type="dxa"/>
            </w:tcMar>
            <w:vAlign w:val="center"/>
            <w:hideMark/>
          </w:tcPr>
          <w:p w14:paraId="12E4C933" w14:textId="77777777">
            <w:r>
              <w:rPr>
                <w:rFonts w:ascii="等线" w:hAnsi="等线" w:eastAsia="等线" w:cs="宋体"/>
                <w:kern w:val="2"/>
                <w:sz w:val="22"/>
                <w:szCs w:val="24"/>
              </w:rPr>
              <w:t>2（10.0）</w:t>
            </w:r>
          </w:p>
        </w:tc>
      </w:tr>
    </w:tbl>
    <w:p w14:paraId="2D7BEA89" w14:textId="77777777">
      <w:pPr>
        <w:pStyle w:val="2"/>
      </w:pPr>
      <w:r>
        <w:rPr>
          <w:rFonts w:ascii="等线 Light" w:hAnsi="等线 Light" w:eastAsia="等线 Light" w:cs="宋体"/>
          <w:color w:val="2F5496"/>
          <w:kern w:val="2"/>
          <w:sz w:val="40"/>
          <w:szCs w:val="40"/>
        </w:rPr>
        <w:t>6.3 PX-2471</w:t>
      </w:r>
    </w:p>
    <w:p w14:paraId="05E148A3" w14:textId="69A608A9">
      <w:r>
        <w:rPr>
          <w:rFonts w:ascii="等线" w:hAnsi="等线" w:eastAsia="等线" w:cs="宋体"/>
          <w:kern w:val="2"/>
          <w:sz w:val="22"/>
          <w:szCs w:val="24"/>
        </w:rPr>
        <w:t>PX-2471为既往开发的重组人</w:t>
      </w:r>
      <w:r>
        <w:rPr>
          <w:rFonts w:ascii="等线" w:hAnsi="等线" w:eastAsia="等线" w:cs="宋体"/>
          <w:kern w:val="2"/>
          <w:sz w:val="22"/>
          <w:szCs w:val="24"/>
        </w:rPr>
        <w:t>源化抗</w:t>
      </w:r>
      <w:r>
        <w:rPr>
          <w:rFonts w:ascii="等线" w:hAnsi="等线" w:eastAsia="等线" w:cs="宋体"/>
          <w:kern w:val="2"/>
          <w:sz w:val="22"/>
          <w:szCs w:val="24"/>
        </w:rPr>
        <w:t>PD-1单克隆抗体，属于PD-1/PD-L1类免疫检查点抑制剂，可通过阻断免疫检查点信号通路，解除肿瘤微环境中的T细胞免疫抑制，从而增强抗肿瘤免疫应答。既往PX-2471</w:t>
      </w:r>
      <w:r>
        <w:rPr>
          <w:rFonts w:ascii="等线" w:hAnsi="等线" w:eastAsia="等线" w:cs="宋体"/>
          <w:kern w:val="2"/>
          <w:sz w:val="22"/>
          <w:szCs w:val="24"/>
        </w:rPr>
        <w:t>联合卡铂和</w:t>
      </w:r>
      <w:r>
        <w:rPr>
          <w:rFonts w:ascii="等线" w:hAnsi="等线" w:eastAsia="等线" w:cs="宋体"/>
          <w:kern w:val="2"/>
          <w:sz w:val="22"/>
          <w:szCs w:val="24"/>
        </w:rPr>
        <w:t>培美</w:t>
      </w:r>
      <w:r>
        <w:rPr>
          <w:rFonts w:ascii="等线" w:hAnsi="等线" w:eastAsia="等线" w:cs="宋体"/>
          <w:kern w:val="2"/>
          <w:sz w:val="22"/>
          <w:szCs w:val="24"/>
        </w:rPr>
        <w:t>曲塞用于</w:t>
      </w:r>
      <w:r>
        <w:rPr>
          <w:rFonts w:ascii="等线" w:hAnsi="等线" w:eastAsia="等线" w:cs="宋体"/>
          <w:kern w:val="2"/>
          <w:sz w:val="22"/>
          <w:szCs w:val="24"/>
        </w:rPr>
        <w:t>晚期非</w:t>
      </w:r>
      <w:r>
        <w:rPr>
          <w:rFonts w:ascii="等线" w:hAnsi="等线" w:eastAsia="等线" w:cs="宋体"/>
          <w:kern w:val="2"/>
          <w:sz w:val="22"/>
          <w:szCs w:val="24"/>
        </w:rPr>
        <w:t>鳞状非</w:t>
      </w:r>
      <w:r>
        <w:rPr>
          <w:rFonts w:ascii="等线" w:hAnsi="等线" w:eastAsia="等线" w:cs="宋体"/>
          <w:kern w:val="2"/>
          <w:sz w:val="22"/>
          <w:szCs w:val="24"/>
        </w:rPr>
        <w:t>小细胞肺癌患者的研究显示，常见治疗相关不良事件包括疲乏、恶心、贫血、中性粒细胞减少及皮疹。少数患者可发生肺部免疫相关事件、肝功能异常及输液相关反应。上述结果提示，PD-1/PD-L1类免疫检查点抑制剂相关免疫毒性仍是该类药物临床应用中的重要风险之一</w:t>
      </w:r>
      <w:r>
        <w:rPr>
          <w:rFonts w:ascii="等线" w:hAnsi="等线" w:eastAsia="等线" w:cs="宋体"/>
          <w:kern w:val="2"/>
          <w:sz w:val="22"/>
          <w:szCs w:val="24"/>
        </w:rPr>
        <w:t>。</w:t>
      </w:r>
    </w:p>
    <w:p w14:paraId="2EAC57E7" w14:textId="70335683">
      <w:pPr>
        <w:pStyle w:val="1"/>
      </w:pPr>
      <w:r>
        <w:lastRenderedPageBreak/>
        <w:rPr>
          <w:rFonts w:ascii="等线 Light" w:hAnsi="等线 Light" w:eastAsia="等线 Light" w:cs="宋体"/>
          <w:color w:val="2F5496"/>
          <w:kern w:val="2"/>
          <w:sz w:val="48"/>
          <w:szCs w:val="48"/>
        </w:rPr>
        <w:t>七、数据</w:t>
      </w:r>
      <w:r>
        <w:rPr>
          <w:rFonts w:ascii="等线 Light" w:hAnsi="等线 Light" w:eastAsia="等线 Light" w:cs="宋体"/>
          <w:color w:val="2F5496"/>
          <w:kern w:val="2"/>
          <w:sz w:val="48"/>
          <w:szCs w:val="48"/>
        </w:rPr>
        <w:t>总结</w:t>
      </w:r>
      <w:r>
        <w:rPr>
          <w:rFonts w:ascii="等线 Light" w:hAnsi="等线 Light" w:eastAsia="等线 Light" w:cs="宋体"/>
          <w:color w:val="2F5496"/>
          <w:kern w:val="2"/>
          <w:sz w:val="48"/>
          <w:szCs w:val="48"/>
        </w:rPr>
        <w:t>和研究者指南</w:t>
      </w:r>
    </w:p>
    <w:p w14:paraId="6CD062E3" w14:textId="77777777">
      <w:r>
        <w:rPr>
          <w:rFonts w:ascii="等线" w:hAnsi="等线" w:eastAsia="等线" w:cs="宋体"/>
          <w:kern w:val="2"/>
          <w:sz w:val="22"/>
          <w:szCs w:val="24"/>
        </w:rPr>
        <w:t>7.1 数据总结</w:t>
      </w:r>
    </w:p>
    <w:p w14:paraId="56BC5210" w14:textId="68A12386">
      <w:r>
        <w:rPr>
          <w:rFonts w:ascii="等线" w:hAnsi="等线" w:eastAsia="等线" w:cs="宋体"/>
          <w:kern w:val="2"/>
          <w:sz w:val="22"/>
          <w:szCs w:val="24"/>
        </w:rPr>
        <w:t>截至2023年11月30日，基于现有物理、药理、毒理及</w:t>
      </w:r>
      <w:r>
        <w:rPr>
          <w:rFonts w:ascii="等线" w:hAnsi="等线" w:eastAsia="等线" w:cs="宋体"/>
          <w:kern w:val="2"/>
          <w:sz w:val="22"/>
          <w:szCs w:val="24"/>
        </w:rPr>
        <w:t>临床临床</w:t>
      </w:r>
      <w:r>
        <w:rPr>
          <w:rFonts w:ascii="等线" w:hAnsi="等线" w:eastAsia="等线" w:cs="宋体"/>
          <w:kern w:val="2"/>
          <w:sz w:val="22"/>
          <w:szCs w:val="24"/>
        </w:rPr>
        <w:t>资料，VT8802总体获益-风险特征支持按计划继续推进临床开发。</w:t>
      </w:r>
    </w:p>
    <w:p w14:paraId="065E5B97" w14:textId="41E0D03A">
      <w:r>
        <w:rPr>
          <w:rFonts w:ascii="等线" w:hAnsi="等线" w:eastAsia="等线" w:cs="宋体"/>
          <w:kern w:val="2"/>
          <w:sz w:val="22"/>
          <w:szCs w:val="24"/>
        </w:rPr>
        <w:t>非临床药理与毒理： 证实了VT8802阻断PD-L1靶点的活性，且未见阻碍临床开发的非预期动物毒性。但需注意，动物模型无法完全预测人体免疫</w:t>
      </w:r>
      <w:r>
        <w:rPr>
          <w:rFonts w:ascii="等线" w:hAnsi="等线" w:eastAsia="等线" w:cs="宋体"/>
          <w:kern w:val="2"/>
          <w:sz w:val="22"/>
          <w:szCs w:val="24"/>
        </w:rPr>
        <w:t>介</w:t>
      </w:r>
      <w:r>
        <w:rPr>
          <w:rFonts w:ascii="等线" w:hAnsi="等线" w:eastAsia="等线" w:cs="宋体"/>
          <w:kern w:val="2"/>
          <w:sz w:val="22"/>
          <w:szCs w:val="24"/>
        </w:rPr>
        <w:t>导不良事件（</w:t>
      </w:r>
      <w:r>
        <w:rPr>
          <w:rFonts w:ascii="等线" w:hAnsi="等线" w:eastAsia="等线" w:cs="宋体"/>
          <w:kern w:val="2"/>
          <w:sz w:val="22"/>
          <w:szCs w:val="24"/>
        </w:rPr>
        <w:t>irAEs</w:t>
      </w:r>
      <w:r>
        <w:rPr>
          <w:rFonts w:ascii="等线" w:hAnsi="等线" w:eastAsia="等线" w:cs="宋体"/>
          <w:kern w:val="2"/>
          <w:sz w:val="22"/>
          <w:szCs w:val="24"/>
        </w:rPr>
        <w:t>）的发生特征与严重程度。</w:t>
      </w:r>
    </w:p>
    <w:p w14:paraId="4363A8C9" w14:textId="0F4414DB">
      <w:r>
        <w:rPr>
          <w:rFonts w:ascii="等线" w:hAnsi="等线" w:eastAsia="等线" w:cs="宋体"/>
          <w:kern w:val="2"/>
          <w:sz w:val="22"/>
          <w:szCs w:val="24"/>
        </w:rPr>
        <w:t>临床药代与有效性： 临床暴露量在0.3~3 mg/kg Q3W范围内呈剂量比例性增加；单药在晚期实体瘤中展现出</w:t>
      </w:r>
      <w:r>
        <w:rPr>
          <w:rFonts w:ascii="等线" w:hAnsi="等线" w:eastAsia="等线" w:cs="宋体"/>
          <w:kern w:val="2"/>
          <w:sz w:val="22"/>
          <w:szCs w:val="24"/>
        </w:rPr>
        <w:t>初步初步</w:t>
      </w:r>
      <w:r>
        <w:rPr>
          <w:rFonts w:ascii="等线" w:hAnsi="等线" w:eastAsia="等线" w:cs="宋体"/>
          <w:kern w:val="2"/>
          <w:sz w:val="22"/>
          <w:szCs w:val="24"/>
        </w:rPr>
        <w:t>抗肿瘤活性，支持 3 mg/kg Q3W 为后续推荐给药剂量，</w:t>
      </w:r>
      <w:r>
        <w:rPr>
          <w:rFonts w:ascii="等线" w:hAnsi="等线" w:eastAsia="等线" w:cs="宋体"/>
          <w:kern w:val="2"/>
          <w:sz w:val="22"/>
          <w:szCs w:val="24"/>
        </w:rPr>
        <w:t>联合卡铂</w:t>
      </w:r>
      <w:r>
        <w:rPr>
          <w:rFonts w:ascii="等线" w:hAnsi="等线" w:eastAsia="等线" w:cs="宋体"/>
          <w:kern w:val="2"/>
          <w:sz w:val="22"/>
          <w:szCs w:val="24"/>
        </w:rPr>
        <w:t>/培</w:t>
      </w:r>
      <w:r>
        <w:rPr>
          <w:rFonts w:ascii="等线" w:hAnsi="等线" w:eastAsia="等线" w:cs="宋体"/>
          <w:kern w:val="2"/>
          <w:sz w:val="22"/>
          <w:szCs w:val="24"/>
        </w:rPr>
        <w:t>美曲塞的</w:t>
      </w:r>
      <w:r>
        <w:rPr>
          <w:rFonts w:ascii="等线" w:hAnsi="等线" w:eastAsia="等线" w:cs="宋体"/>
          <w:kern w:val="2"/>
          <w:sz w:val="22"/>
          <w:szCs w:val="24"/>
        </w:rPr>
        <w:t>II期研究目前也已观察到初步疗效。</w:t>
      </w:r>
    </w:p>
    <w:p w14:paraId="2D039F10" w14:textId="3991366F">
      <w:r>
        <w:rPr>
          <w:rFonts w:ascii="等线" w:hAnsi="等线" w:eastAsia="等线" w:cs="宋体"/>
          <w:kern w:val="2"/>
          <w:sz w:val="22"/>
          <w:szCs w:val="24"/>
        </w:rPr>
        <w:t>临床安全性谱： 总体安全性特征与已知同类PD-1/PD-L1抑制剂基本一致，最常见的不良反应（如乏力、轻中度胃肠道反应、皮疹及甲状腺功能异常等）多为1~2级，经暂停给药或标准对症干预后可控。联合化疗方案的</w:t>
      </w:r>
      <w:r>
        <w:rPr>
          <w:rFonts w:ascii="等线" w:hAnsi="等线" w:eastAsia="等线" w:cs="宋体"/>
          <w:kern w:val="2"/>
          <w:sz w:val="22"/>
          <w:szCs w:val="24"/>
        </w:rPr>
        <w:t>试验参与者</w:t>
      </w:r>
      <w:r>
        <w:rPr>
          <w:rFonts w:ascii="等线" w:hAnsi="等线" w:eastAsia="等线" w:cs="宋体"/>
          <w:kern w:val="2"/>
          <w:sz w:val="22"/>
          <w:szCs w:val="24"/>
        </w:rPr>
        <w:t>中，额外叠加了背景化疗药物已知的血液学毒性。</w:t>
      </w:r>
    </w:p>
    <w:p w14:paraId="7EF9FBC1" w14:textId="77777777">
      <w:r>
        <w:rPr>
          <w:rFonts w:ascii="等线" w:hAnsi="等线" w:eastAsia="等线" w:cs="宋体"/>
          <w:kern w:val="2"/>
          <w:sz w:val="22"/>
          <w:szCs w:val="24"/>
        </w:rPr>
        <w:t>7.2 研究者指南</w:t>
      </w:r>
    </w:p>
    <w:p w14:paraId="3860DF34" w14:textId="06117018">
      <w:r>
        <w:rPr>
          <w:rFonts w:ascii="等线" w:hAnsi="等线" w:eastAsia="等线" w:cs="宋体"/>
          <w:kern w:val="2"/>
          <w:sz w:val="22"/>
          <w:szCs w:val="24"/>
        </w:rPr>
        <w:t>基于同类药物经验及VT8802前期临床数据，研究者在后续试验中应重点执行以下医学观察、特殊检测与临床预防措施：</w:t>
      </w:r>
    </w:p>
    <w:p w14:paraId="2CA117DF" w14:textId="21CAA3A8">
      <w:r>
        <w:rPr>
          <w:rFonts w:ascii="等线" w:hAnsi="等线" w:eastAsia="等线" w:cs="宋体"/>
          <w:kern w:val="2"/>
          <w:sz w:val="22"/>
          <w:szCs w:val="24"/>
        </w:rPr>
        <w:t>1. 重点已识别风险的识别与处理</w:t>
      </w:r>
    </w:p>
    <w:p w14:paraId="7AF77AF3" w14:textId="6D319268">
      <w:r>
        <w:rPr>
          <w:rFonts w:ascii="等线" w:hAnsi="等线" w:eastAsia="等线" w:cs="宋体"/>
          <w:kern w:val="2"/>
          <w:sz w:val="22"/>
          <w:szCs w:val="24"/>
        </w:rPr>
        <w:t>肺部毒性（感染性肺炎/疑似免疫性肺炎）： 鉴于已报告3例</w:t>
      </w:r>
      <w:r>
        <w:rPr>
          <w:rFonts w:ascii="等线" w:hAnsi="等线" w:eastAsia="等线" w:cs="宋体"/>
          <w:kern w:val="2"/>
          <w:sz w:val="22"/>
          <w:szCs w:val="24"/>
        </w:rPr>
        <w:t>次相关</w:t>
      </w:r>
      <w:r>
        <w:rPr>
          <w:rFonts w:ascii="等线" w:hAnsi="等线" w:eastAsia="等线" w:cs="宋体"/>
          <w:kern w:val="2"/>
          <w:sz w:val="22"/>
          <w:szCs w:val="24"/>
        </w:rPr>
        <w:t>严重不良反应，研究者需高度警惕。</w:t>
      </w:r>
    </w:p>
    <w:p w14:paraId="18A592A4" w14:textId="12AF6139">
      <w:r>
        <w:rPr>
          <w:rFonts w:ascii="等线" w:hAnsi="等线" w:eastAsia="等线" w:cs="宋体"/>
          <w:kern w:val="2"/>
          <w:sz w:val="22"/>
          <w:szCs w:val="24"/>
        </w:rPr>
        <w:t>识别与监测： 密切关注发热、咳嗽、气促、SpO2下降等临床表现，及早完善病原学与胸部影像学（如HRCT）检查。</w:t>
      </w:r>
    </w:p>
    <w:p w14:paraId="06CD792B" w14:textId="0549837F">
      <w:r>
        <w:rPr>
          <w:rFonts w:ascii="等线" w:hAnsi="等线" w:eastAsia="等线" w:cs="宋体"/>
          <w:kern w:val="2"/>
          <w:sz w:val="22"/>
          <w:szCs w:val="24"/>
        </w:rPr>
        <w:t>处理指引： 需结合</w:t>
      </w:r>
      <w:r>
        <w:rPr>
          <w:rFonts w:ascii="等线" w:hAnsi="等线" w:eastAsia="等线" w:cs="宋体"/>
          <w:kern w:val="2"/>
          <w:sz w:val="22"/>
          <w:szCs w:val="24"/>
        </w:rPr>
        <w:t>试验参与者</w:t>
      </w:r>
      <w:r>
        <w:rPr>
          <w:rFonts w:ascii="等线" w:hAnsi="等线" w:eastAsia="等线" w:cs="宋体"/>
          <w:kern w:val="2"/>
          <w:sz w:val="22"/>
          <w:szCs w:val="24"/>
        </w:rPr>
        <w:t>肿瘤进展、合并用药及基础疾病进行综合鉴别诊断。若疑似肺部感染或免疫</w:t>
      </w:r>
      <w:r>
        <w:rPr>
          <w:rFonts w:ascii="等线" w:hAnsi="等线" w:eastAsia="等线" w:cs="宋体"/>
          <w:kern w:val="2"/>
          <w:sz w:val="22"/>
          <w:szCs w:val="24"/>
        </w:rPr>
        <w:t>介</w:t>
      </w:r>
      <w:r>
        <w:rPr>
          <w:rFonts w:ascii="等线" w:hAnsi="等线" w:eastAsia="等线" w:cs="宋体"/>
          <w:kern w:val="2"/>
          <w:sz w:val="22"/>
          <w:szCs w:val="24"/>
        </w:rPr>
        <w:t>导性间质性肺病，应立即暂停研究药物，及时给予经验性抗感染和/或全身性糖皮质激素治疗。</w:t>
      </w:r>
    </w:p>
    <w:p w14:paraId="18180F2C" w14:textId="44F3715C">
      <w:r>
        <w:rPr>
          <w:rFonts w:ascii="等线" w:hAnsi="等线" w:eastAsia="等线" w:cs="宋体"/>
          <w:kern w:val="2"/>
          <w:sz w:val="22"/>
          <w:szCs w:val="24"/>
        </w:rPr>
        <w:t>药物诱导的肝损伤（DILI）： 已确证1例</w:t>
      </w:r>
      <w:r>
        <w:rPr>
          <w:rFonts w:ascii="等线" w:hAnsi="等线" w:eastAsia="等线" w:cs="宋体"/>
          <w:kern w:val="2"/>
          <w:sz w:val="22"/>
          <w:szCs w:val="24"/>
        </w:rPr>
        <w:t>次相关</w:t>
      </w:r>
      <w:r>
        <w:rPr>
          <w:rFonts w:ascii="等线" w:hAnsi="等线" w:eastAsia="等线" w:cs="宋体"/>
          <w:kern w:val="2"/>
          <w:sz w:val="22"/>
          <w:szCs w:val="24"/>
        </w:rPr>
        <w:t>严重不良反应。</w:t>
      </w:r>
    </w:p>
    <w:p w14:paraId="2EF432A0" w14:textId="675F0FF1">
      <w:r>
        <w:rPr>
          <w:rFonts w:ascii="等线" w:hAnsi="等线" w:eastAsia="等线" w:cs="宋体"/>
          <w:kern w:val="2"/>
          <w:sz w:val="22"/>
          <w:szCs w:val="24"/>
        </w:rPr>
        <w:t>识别与监测： 给药前及给药期间必须严格按方案要求监测肝功能（ALT、AST、总胆红素等）。</w:t>
      </w:r>
    </w:p>
    <w:p w14:paraId="60596321" w14:textId="7F4CB8A4">
      <w:r>
        <w:rPr>
          <w:rFonts w:ascii="等线" w:hAnsi="等线" w:eastAsia="等线" w:cs="宋体"/>
          <w:kern w:val="2"/>
          <w:sz w:val="22"/>
          <w:szCs w:val="24"/>
        </w:rPr>
        <w:t>处理指引： 一旦出现异常或持续恶化，应警惕免疫性肝炎或DILI，需主动排除病毒性肝炎及其他合并用药影响，按方案指引实施暂停给药、永久停药及保肝/激素干预。</w:t>
      </w:r>
    </w:p>
    <w:p w14:paraId="18E52FD7" w14:textId="3B8F30B7">
      <w:r>
        <w:lastRenderedPageBreak/>
        <w:rPr>
          <w:rFonts w:ascii="等线" w:hAnsi="等线" w:eastAsia="等线" w:cs="宋体"/>
          <w:kern w:val="2"/>
          <w:sz w:val="22"/>
          <w:szCs w:val="24"/>
        </w:rPr>
        <w:t>2. 其他常规风险的医学观察</w:t>
      </w:r>
    </w:p>
    <w:p w14:paraId="7A063D3D" w14:textId="578C4711">
      <w:r>
        <w:rPr>
          <w:rFonts w:ascii="等线" w:hAnsi="等线" w:eastAsia="等线" w:cs="宋体"/>
          <w:kern w:val="2"/>
          <w:sz w:val="22"/>
          <w:szCs w:val="24"/>
        </w:rPr>
        <w:t>常规免疫相关不良事件（</w:t>
      </w:r>
      <w:r>
        <w:rPr>
          <w:rFonts w:ascii="等线" w:hAnsi="等线" w:eastAsia="等线" w:cs="宋体"/>
          <w:kern w:val="2"/>
          <w:sz w:val="22"/>
          <w:szCs w:val="24"/>
        </w:rPr>
        <w:t>irAEs</w:t>
      </w:r>
      <w:r>
        <w:rPr>
          <w:rFonts w:ascii="等线" w:hAnsi="等线" w:eastAsia="等线" w:cs="宋体"/>
          <w:kern w:val="2"/>
          <w:sz w:val="22"/>
          <w:szCs w:val="24"/>
        </w:rPr>
        <w:t>）： 腹泻、皮疹、内分泌异常（如甲状腺功能减退）等已被观察到。研究者应在每次随访中主动问诊胃肠道及皮肤症状，一旦事件达到临床关注程度或持续加重，应及时评估并予以对症干预。</w:t>
      </w:r>
    </w:p>
    <w:p w14:paraId="2A3E6595" w14:textId="216C6C87">
      <w:r>
        <w:rPr>
          <w:rFonts w:ascii="等线" w:hAnsi="等线" w:eastAsia="等线" w:cs="宋体"/>
          <w:kern w:val="2"/>
          <w:sz w:val="22"/>
          <w:szCs w:val="24"/>
        </w:rPr>
        <w:t>输液相关反应（IRR）： 给药期间及给药后应严密观察患者是否出现发热、寒战、皮疹或低血压。一旦发生疑似IRR，应立即减慢滴速或中断输注，并给予相应的药物急救（如抗组胺药、解热镇痛药或糖皮质激素）。</w:t>
      </w:r>
    </w:p>
    <w:p w14:paraId="44DF9128" w14:textId="122E9DE7">
      <w:r>
        <w:rPr>
          <w:rFonts w:ascii="等线" w:hAnsi="等线" w:eastAsia="等线" w:cs="宋体"/>
          <w:kern w:val="2"/>
          <w:sz w:val="22"/>
          <w:szCs w:val="24"/>
        </w:rPr>
        <w:t>联合用药的叠加毒性： 在开展VT8802</w:t>
      </w:r>
      <w:r>
        <w:rPr>
          <w:rFonts w:ascii="等线" w:hAnsi="等线" w:eastAsia="等线" w:cs="宋体"/>
          <w:kern w:val="2"/>
          <w:sz w:val="22"/>
          <w:szCs w:val="24"/>
        </w:rPr>
        <w:t>联合卡铂</w:t>
      </w:r>
      <w:r>
        <w:rPr>
          <w:rFonts w:ascii="等线" w:hAnsi="等线" w:eastAsia="等线" w:cs="宋体"/>
          <w:kern w:val="2"/>
          <w:sz w:val="22"/>
          <w:szCs w:val="24"/>
        </w:rPr>
        <w:t>/培美</w:t>
      </w:r>
      <w:r>
        <w:rPr>
          <w:rFonts w:ascii="等线" w:hAnsi="等线" w:eastAsia="等线" w:cs="宋体"/>
          <w:kern w:val="2"/>
          <w:sz w:val="22"/>
          <w:szCs w:val="24"/>
        </w:rPr>
        <w:t>曲塞治疗</w:t>
      </w:r>
      <w:r>
        <w:rPr>
          <w:rFonts w:ascii="等线" w:hAnsi="等线" w:eastAsia="等线" w:cs="宋体"/>
          <w:kern w:val="2"/>
          <w:sz w:val="22"/>
          <w:szCs w:val="24"/>
        </w:rPr>
        <w:t>时，研究者需遵循常规化疗管理规范，加强血常规监测；对于出现的骨髓抑制（中性粒细胞减少、贫血等），应给予集落刺激因子（G-CSF）等标准支持治疗及必要的给药调整。</w:t>
      </w:r>
    </w:p>
    <w:p w14:paraId="4FD07C9A" w14:textId="77777777">
      <w:r>
        <w:rPr>
          <w:rFonts w:ascii="等线" w:hAnsi="等线" w:eastAsia="等线" w:cs="宋体"/>
          <w:kern w:val="2"/>
          <w:sz w:val="22"/>
          <w:szCs w:val="24"/>
        </w:rPr>
        <w:t>3. 药物过量指导</w:t>
      </w:r>
    </w:p>
    <w:p w14:paraId="69B70241" w14:textId="3D545574">
      <w:r>
        <w:rPr>
          <w:rFonts w:ascii="等线" w:hAnsi="等线" w:eastAsia="等线" w:cs="宋体"/>
          <w:kern w:val="2"/>
          <w:sz w:val="22"/>
          <w:szCs w:val="24"/>
        </w:rPr>
        <w:t>目前尚无针对VT8802过量的特异性拮抗剂。若发生疑似药物过量，应密切监测患者是否出现不良反应的症状或体征，并立即给予适当的对症及支持性治疗。</w:t>
      </w:r>
    </w:p>
    <w:p w14:paraId="2CDE66BC" w14:textId="77777777">
      <w:r>
        <w:rPr>
          <w:rFonts w:ascii="等线" w:hAnsi="等线" w:eastAsia="等线" w:cs="宋体"/>
          <w:kern w:val="2"/>
          <w:sz w:val="22"/>
          <w:szCs w:val="24"/>
        </w:rPr>
        <w:t>4. 严重不良反应预期性判断与报告（RSI遵循）</w:t>
      </w:r>
    </w:p>
    <w:p w14:paraId="7625A703" w14:textId="6B17FC15">
      <w:r>
        <w:rPr>
          <w:rFonts w:ascii="等线" w:hAnsi="等线" w:eastAsia="等线" w:cs="宋体"/>
          <w:kern w:val="2"/>
          <w:sz w:val="22"/>
          <w:szCs w:val="24"/>
        </w:rPr>
        <w:t>在进行安全性报告时，研究者必须严格参考本手册第八章（安全性参考信息，RSI）。目前，“感染性肺炎”和“药物诱导的肝损伤”已被列为预期严重不良反应。对于未列入RSI的任何严重、非预期安全性事件（SUSAR），研究者应按方案和法规要求在规定时限内向申办者、伦理委员会及监管机构报告。</w:t>
      </w:r>
    </w:p>
    <w:p w14:paraId="252A0A30" w14:textId="77777777">
      <w:pPr>
        <w:pStyle w:val="1"/>
      </w:pPr>
      <w:r>
        <w:rPr>
          <w:rFonts w:ascii="等线 Light" w:hAnsi="等线 Light" w:eastAsia="等线 Light" w:cs="宋体"/>
          <w:color w:val="2F5496"/>
          <w:kern w:val="2"/>
          <w:sz w:val="48"/>
          <w:szCs w:val="48"/>
        </w:rPr>
        <w:t>八. 安全性参考信息</w:t>
      </w:r>
    </w:p>
    <w:p w14:paraId="58D5954C" w14:textId="77777777">
      <w:r>
        <w:rPr>
          <w:rFonts w:ascii="等线" w:hAnsi="等线" w:eastAsia="等线" w:cs="宋体"/>
          <w:kern w:val="2"/>
          <w:sz w:val="22"/>
          <w:szCs w:val="24"/>
        </w:rPr>
        <w:t>本节安全性参考信息（Reference Safety Information，RSI）用于临床试验期间严重不良反应预期性的判断，以及</w:t>
      </w:r>
      <w:r>
        <w:rPr>
          <w:rFonts w:ascii="等线" w:hAnsi="等线" w:eastAsia="等线" w:cs="宋体"/>
          <w:kern w:val="2"/>
          <w:sz w:val="22"/>
          <w:szCs w:val="24"/>
        </w:rPr>
        <w:t>疑似非</w:t>
      </w:r>
      <w:r>
        <w:rPr>
          <w:rFonts w:ascii="等线" w:hAnsi="等线" w:eastAsia="等线" w:cs="宋体"/>
          <w:kern w:val="2"/>
          <w:sz w:val="22"/>
          <w:szCs w:val="24"/>
        </w:rPr>
        <w:t>预期严重不良反应（SUSAR）的评估。本节所列信息并非VT8802完整安全性特征的总结。</w:t>
      </w:r>
    </w:p>
    <w:p w14:paraId="14CD77DA" w14:textId="77777777">
      <w:r>
        <w:rPr>
          <w:rFonts w:ascii="等线" w:hAnsi="等线" w:eastAsia="等线" w:cs="宋体"/>
          <w:kern w:val="2"/>
          <w:sz w:val="22"/>
          <w:szCs w:val="24"/>
        </w:rPr>
        <w:t>截至2023年11月30日，基于VT8802已完成及正在进行临床研究获得的累计安全性数据，感染性肺炎和药物诱导的肝损伤已被确定为VT8802的预期严重不良反应，并纳入以安全性报告为目的的安全性参考信息。</w:t>
      </w:r>
    </w:p>
    <w:p w14:paraId="297BA79C" w14:textId="77777777">
      <w:r>
        <w:rPr>
          <w:rFonts w:ascii="等线" w:hAnsi="等线" w:eastAsia="等线" w:cs="等线"/>
          <w:kern w:val="2"/>
          <w:sz w:val="22"/>
          <w:szCs w:val="24"/>
        </w:rPr>
        <w:t>截至同一数据截止日期，VT8802累计暴露例数为50例。累计报告感染性肺炎严重不良反应3例，发生率为6.0%；累计报告药物诱导的肝损伤严重不良反应1例，发生率为2.0%。上述事件均未报告致死或危及生命的严重不良反应。具体SOC分类及发生情况见表4。</w:t>
      </w:r>
    </w:p>
    <w:p w14:paraId="07D9D51B" w14:textId="77777777">
      <w:r>
        <w:rPr>
          <w:rFonts w:ascii="等线" w:hAnsi="等线" w:eastAsia="等线" w:cs="宋体"/>
          <w:kern w:val="2"/>
          <w:sz w:val="22"/>
          <w:szCs w:val="24"/>
        </w:rPr>
        <w:t>表4 以安全性报告为目的VT8802的预期严重不良反应</w:t>
      </w:r>
    </w:p>
    <w:tbl>
      <w:tblPr>
        <w:tblW w:w="0" w:type="auto"/>
        <w:tblCellSpacing w:w="15" w:type="dxa"/>
        <w:tblLayout w:type="fixed"/>
        <w:tblCellMar>
          <w:top w:w="15" w:type="dxa"/>
          <w:left w:w="15" w:type="dxa"/>
          <w:bottom w:w="15" w:type="dxa"/>
          <w:right w:w="15" w:type="dxa"/>
        </w:tblCellMar>
        <w:tblLook w:firstRow="1" w:lastRow="1" w:firstColumn="1" w:lastColumn="1" w:noHBand="1" w:noVBand="1"/>
      </w:tblPr>
      <w:tblGrid>
        <w:gridCol w:w="1536"/>
        <w:gridCol w:w="1569"/>
        <w:gridCol w:w="200"/>
        <w:gridCol w:w="1598"/>
        <w:gridCol w:w="1598"/>
        <w:gridCol w:w="1925"/>
      </w:tblGrid>
      <w:tr>
        <w:trPr>
          <w:tblHeader/>
        </w:trPr>
        <w:tc>
          <w:tcPr>
            <w:tcW w:w="1491" w:type="dxa"/>
            <w:vMerge w:val="restart"/>
            <w:tcMar>
              <w:top w:w="15" w:type="dxa"/>
              <w:left w:w="15" w:type="dxa"/>
              <w:bottom w:w="15" w:type="dxa"/>
              <w:right w:w="15" w:type="dxa"/>
            </w:tcMar>
            <w:vAlign w:val="center"/>
          </w:tcPr>
          <w:p w14:paraId="4AD12095" w14:textId="77777777">
            <w:pPr>
              <w:rPr>
                <w:b/>
                <w:bCs/>
              </w:rPr>
            </w:pPr>
            <w:r>
              <w:lastRenderedPageBreak/>
              <w:rPr>
                <w:rFonts w:ascii="等线" w:hAnsi="等线" w:eastAsia="等线" w:cs="宋体"/>
                <w:b/>
                <w:bCs/>
                <w:kern w:val="2"/>
                <w:sz w:val="22"/>
                <w:szCs w:val="24"/>
              </w:rPr>
              <w:t>SOC</w:t>
            </w:r>
          </w:p>
        </w:tc>
        <w:tc>
          <w:tcPr>
            <w:tcW w:w="1539" w:type="dxa"/>
            <w:vMerge w:val="restart"/>
            <w:tcMar>
              <w:top w:w="15" w:type="dxa"/>
              <w:left w:w="15" w:type="dxa"/>
              <w:bottom w:w="15" w:type="dxa"/>
              <w:right w:w="15" w:type="dxa"/>
            </w:tcMar>
            <w:vAlign w:val="center"/>
          </w:tcPr>
          <w:p w14:paraId="53DBE1AC" w14:textId="77777777">
            <w:pPr>
              <w:rPr>
                <w:b/>
                <w:bCs/>
              </w:rPr>
            </w:pPr>
            <w:r>
              <w:rPr>
                <w:rFonts w:ascii="等线" w:hAnsi="等线" w:eastAsia="等线" w:cs="宋体"/>
                <w:b/>
                <w:bCs/>
                <w:kern w:val="2"/>
                <w:sz w:val="22"/>
                <w:szCs w:val="24"/>
              </w:rPr>
              <w:t>SARs</w:t>
            </w:r>
          </w:p>
        </w:tc>
        <w:tc>
          <w:tcPr>
            <w:tcW w:w="170" w:type="dxa"/>
            <w:tcMar>
              <w:top w:w="15" w:type="dxa"/>
              <w:left w:w="15" w:type="dxa"/>
              <w:bottom w:w="15" w:type="dxa"/>
              <w:right w:w="15" w:type="dxa"/>
            </w:tcMar>
            <w:vAlign w:val="center"/>
          </w:tcPr>
          <w:p w14:paraId="356D72C1" w14:textId="77777777">
            <w:pPr>
              <w:rPr>
                <w:b/>
                <w:bCs/>
              </w:rPr>
            </w:pPr>
          </w:p>
        </w:tc>
        <w:tc>
          <w:tcPr>
            <w:tcW w:w="1568" w:type="dxa"/>
            <w:gridSpan w:val="3"/>
            <w:tcMar>
              <w:top w:w="15" w:type="dxa"/>
              <w:left w:w="15" w:type="dxa"/>
              <w:bottom w:w="15" w:type="dxa"/>
              <w:right w:w="15" w:type="dxa"/>
            </w:tcMar>
            <w:vAlign w:val="center"/>
          </w:tcPr>
          <w:p w14:paraId="42D825D6" w14:textId="77777777">
            <w:pPr>
              <w:rPr>
                <w:b/>
                <w:bCs/>
              </w:rPr>
            </w:pPr>
            <w:r>
              <w:rPr>
                <w:rFonts w:ascii="等线" w:hAnsi="等线" w:eastAsia="等线" w:cs="宋体"/>
                <w:b/>
                <w:bCs/>
                <w:kern w:val="2"/>
                <w:sz w:val="22"/>
                <w:szCs w:val="24"/>
              </w:rPr>
              <w:t>VT8802累计暴露例数（N=50）</w:t>
            </w:r>
          </w:p>
        </w:tc>
      </w:tr>
      <w:tr>
        <w:trPr>
          <w:tblHeader/>
        </w:trPr>
        <w:tc>
          <w:tcPr>
            <w:tcW w:w="1491" w:type="dxa"/>
            <w:vMerge/>
            <w:tcMar>
              <w:top w:w="15" w:type="dxa"/>
              <w:left w:w="15" w:type="dxa"/>
              <w:bottom w:w="15" w:type="dxa"/>
              <w:right w:w="15" w:type="dxa"/>
            </w:tcMar>
            <w:vAlign w:val="center"/>
          </w:tcPr>
          <w:p/>
        </w:tc>
        <w:tc>
          <w:tcPr>
            <w:tcW w:w="1539" w:type="dxa"/>
            <w:vMerge/>
            <w:tcMar>
              <w:top w:w="15" w:type="dxa"/>
              <w:left w:w="15" w:type="dxa"/>
              <w:bottom w:w="15" w:type="dxa"/>
              <w:right w:w="15" w:type="dxa"/>
            </w:tcMar>
            <w:vAlign w:val="center"/>
          </w:tcPr>
          <w:p/>
        </w:tc>
        <w:tc>
          <w:tcPr>
            <w:tcW w:w="140" w:type="dxa"/>
            <w:tcMar>
              <w:top w:w="15" w:type="dxa"/>
              <w:left w:w="15" w:type="dxa"/>
              <w:bottom w:w="15" w:type="dxa"/>
              <w:right w:w="15" w:type="dxa"/>
            </w:tcMar>
            <w:vAlign w:val="center"/>
          </w:tcPr>
          <w:p w14:paraId="07D2CDD5" w14:textId="77777777">
            <w:pPr>
              <w:rPr>
                <w:b/>
                <w:bCs/>
              </w:rPr>
            </w:pPr>
          </w:p>
        </w:tc>
        <w:tc>
          <w:tcPr>
            <w:tcW w:w="1539" w:type="dxa"/>
            <w:tcMar>
              <w:top w:w="15" w:type="dxa"/>
              <w:left w:w="15" w:type="dxa"/>
              <w:bottom w:w="15" w:type="dxa"/>
              <w:right w:w="15" w:type="dxa"/>
            </w:tcMar>
            <w:vAlign w:val="center"/>
            <w:hideMark/>
          </w:tcPr>
          <w:p w14:paraId="3D2F154F" w14:textId="77777777">
            <w:pPr>
              <w:rPr>
                <w:b/>
                <w:bCs/>
              </w:rPr>
            </w:pPr>
            <w:r>
              <w:rPr>
                <w:rFonts w:ascii="等线" w:hAnsi="等线" w:eastAsia="等线" w:cs="宋体"/>
                <w:b/>
                <w:bCs/>
                <w:kern w:val="2"/>
                <w:sz w:val="22"/>
                <w:szCs w:val="24"/>
              </w:rPr>
              <w:t>所有SARs n（%）</w:t>
            </w:r>
          </w:p>
        </w:tc>
        <w:tc>
          <w:tcPr>
            <w:tcW w:w="170" w:type="dxa"/>
            <w:tcMar>
              <w:top w:w="15" w:type="dxa"/>
              <w:left w:w="15" w:type="dxa"/>
              <w:bottom w:w="15" w:type="dxa"/>
              <w:right w:w="15" w:type="dxa"/>
            </w:tcMar>
            <w:vAlign w:val="center"/>
            <w:hideMark/>
          </w:tcPr>
          <w:p w14:paraId="525142A0" w14:textId="77777777">
            <w:pPr>
              <w:rPr>
                <w:b/>
                <w:bCs/>
              </w:rPr>
            </w:pPr>
            <w:r>
              <w:rPr>
                <w:rFonts w:ascii="等线" w:hAnsi="等线" w:eastAsia="等线" w:cs="宋体"/>
                <w:b/>
                <w:bCs/>
                <w:kern w:val="2"/>
                <w:sz w:val="22"/>
                <w:szCs w:val="24"/>
              </w:rPr>
              <w:t>致死SARs n（%）</w:t>
            </w:r>
          </w:p>
        </w:tc>
        <w:tc>
          <w:tcPr>
            <w:tcW w:w="1568" w:type="dxa"/>
            <w:tcMar>
              <w:top w:w="15" w:type="dxa"/>
              <w:left w:w="15" w:type="dxa"/>
              <w:bottom w:w="15" w:type="dxa"/>
              <w:right w:w="15" w:type="dxa"/>
            </w:tcMar>
            <w:vAlign w:val="center"/>
            <w:hideMark/>
          </w:tcPr>
          <w:p w14:paraId="1275E68B" w14:textId="77777777">
            <w:pPr>
              <w:rPr>
                <w:b/>
                <w:bCs/>
              </w:rPr>
            </w:pPr>
            <w:r>
              <w:rPr>
                <w:rFonts w:ascii="等线" w:hAnsi="等线" w:eastAsia="等线" w:cs="宋体"/>
                <w:b/>
                <w:bCs/>
                <w:kern w:val="2"/>
                <w:sz w:val="22"/>
                <w:szCs w:val="24"/>
              </w:rPr>
              <w:t>危及生命SARs n（%）</w:t>
            </w:r>
          </w:p>
        </w:tc>
      </w:tr>
      <w:tr>
        <w:tc>
          <w:tcPr>
            <w:tcW w:w="1491" w:type="dxa"/>
            <w:tcMar>
              <w:top w:w="15" w:type="dxa"/>
              <w:left w:w="15" w:type="dxa"/>
              <w:bottom w:w="15" w:type="dxa"/>
              <w:right w:w="15" w:type="dxa"/>
            </w:tcMar>
            <w:vAlign w:val="center"/>
            <w:hideMark/>
          </w:tcPr>
          <w:p w14:paraId="15E34AF3" w14:textId="77777777">
            <w:r>
              <w:rPr>
                <w:rFonts w:ascii="等线" w:hAnsi="等线" w:eastAsia="等线" w:cs="宋体"/>
                <w:kern w:val="2"/>
                <w:sz w:val="22"/>
                <w:szCs w:val="24"/>
              </w:rPr>
              <w:t>感染及</w:t>
            </w:r>
            <w:r>
              <w:rPr>
                <w:rFonts w:ascii="等线" w:hAnsi="等线" w:eastAsia="等线" w:cs="宋体"/>
                <w:kern w:val="2"/>
                <w:sz w:val="22"/>
                <w:szCs w:val="24"/>
              </w:rPr>
              <w:t>侵染</w:t>
            </w:r>
            <w:r>
              <w:rPr>
                <w:rFonts w:ascii="等线" w:hAnsi="等线" w:eastAsia="等线" w:cs="宋体"/>
                <w:kern w:val="2"/>
                <w:sz w:val="22"/>
                <w:szCs w:val="24"/>
              </w:rPr>
              <w:t>类疾病</w:t>
            </w:r>
          </w:p>
        </w:tc>
        <w:tc>
          <w:tcPr>
            <w:tcW w:w="1539" w:type="dxa"/>
            <w:tcMar>
              <w:top w:w="15" w:type="dxa"/>
              <w:left w:w="15" w:type="dxa"/>
              <w:bottom w:w="15" w:type="dxa"/>
              <w:right w:w="15" w:type="dxa"/>
            </w:tcMar>
            <w:vAlign w:val="center"/>
            <w:hideMark/>
          </w:tcPr>
          <w:p w14:paraId="4BBEFBEE" w14:textId="77777777">
            <w:r>
              <w:rPr>
                <w:rFonts w:ascii="等线" w:hAnsi="等线" w:eastAsia="等线" w:cs="宋体"/>
                <w:kern w:val="2"/>
                <w:sz w:val="22"/>
                <w:szCs w:val="24"/>
              </w:rPr>
              <w:t>感染性肺炎</w:t>
            </w:r>
          </w:p>
        </w:tc>
        <w:tc>
          <w:tcPr>
            <w:tcW w:w="170" w:type="dxa"/>
            <w:tcMar>
              <w:top w:w="15" w:type="dxa"/>
              <w:left w:w="15" w:type="dxa"/>
              <w:bottom w:w="15" w:type="dxa"/>
              <w:right w:w="15" w:type="dxa"/>
            </w:tcMar>
            <w:vAlign w:val="center"/>
            <w:hideMark/>
          </w:tcPr>
          <w:p w14:paraId="78D3C761" w14:textId="77777777">
            <w:r>
              <w:rPr>
                <w:rFonts w:ascii="等线" w:hAnsi="等线" w:eastAsia="等线" w:cs="宋体"/>
                <w:kern w:val="2"/>
                <w:sz w:val="22"/>
                <w:szCs w:val="24"/>
              </w:rPr>
              <w:t>-</w:t>
            </w:r>
          </w:p>
        </w:tc>
        <w:tc>
          <w:tcPr>
            <w:tcW w:w="1568" w:type="dxa"/>
            <w:tcMar>
              <w:top w:w="15" w:type="dxa"/>
              <w:left w:w="15" w:type="dxa"/>
              <w:bottom w:w="15" w:type="dxa"/>
              <w:right w:w="15" w:type="dxa"/>
            </w:tcMar>
            <w:vAlign w:val="center"/>
            <w:hideMark/>
          </w:tcPr>
          <w:p w14:paraId="6F94BFFC" w14:textId="77777777">
            <w:r>
              <w:rPr>
                <w:rFonts w:ascii="等线" w:hAnsi="等线" w:eastAsia="等线" w:cs="宋体"/>
                <w:kern w:val="2"/>
                <w:sz w:val="22"/>
                <w:szCs w:val="24"/>
              </w:rPr>
              <w:t>3（6.0）</w:t>
            </w:r>
          </w:p>
        </w:tc>
        <w:tc>
          <w:tcPr>
            <w:tcW w:w="1568" w:type="dxa"/>
            <w:tcMar>
              <w:top w:w="15" w:type="dxa"/>
              <w:left w:w="15" w:type="dxa"/>
              <w:bottom w:w="15" w:type="dxa"/>
              <w:right w:w="15" w:type="dxa"/>
            </w:tcMar>
            <w:vAlign w:val="center"/>
            <w:hideMark/>
          </w:tcPr>
          <w:p w14:paraId="3896082E" w14:textId="77777777">
            <w:r>
              <w:rPr>
                <w:rFonts w:ascii="等线" w:hAnsi="等线" w:eastAsia="等线" w:cs="宋体"/>
                <w:kern w:val="2"/>
                <w:sz w:val="22"/>
                <w:szCs w:val="24"/>
              </w:rPr>
              <w:t>0（0.0）</w:t>
            </w:r>
          </w:p>
        </w:tc>
        <w:tc>
          <w:tcPr>
            <w:tcW w:w="1880" w:type="dxa"/>
            <w:tcMar>
              <w:top w:w="15" w:type="dxa"/>
              <w:left w:w="15" w:type="dxa"/>
              <w:bottom w:w="15" w:type="dxa"/>
              <w:right w:w="15" w:type="dxa"/>
            </w:tcMar>
            <w:vAlign w:val="center"/>
            <w:hideMark/>
          </w:tcPr>
          <w:p w14:paraId="6EC49A42" w14:textId="77777777">
            <w:r>
              <w:rPr>
                <w:rFonts w:ascii="等线" w:hAnsi="等线" w:eastAsia="等线" w:cs="宋体"/>
                <w:kern w:val="2"/>
                <w:sz w:val="22"/>
                <w:szCs w:val="24"/>
              </w:rPr>
              <w:t>0（0.0）</w:t>
            </w:r>
          </w:p>
        </w:tc>
      </w:tr>
      <w:tr>
        <w:tc>
          <w:tcPr>
            <w:tcW w:w="1491" w:type="dxa"/>
            <w:tcMar>
              <w:top w:w="15" w:type="dxa"/>
              <w:left w:w="15" w:type="dxa"/>
              <w:bottom w:w="15" w:type="dxa"/>
              <w:right w:w="15" w:type="dxa"/>
            </w:tcMar>
            <w:vAlign w:val="center"/>
            <w:hideMark/>
          </w:tcPr>
          <w:p w14:paraId="5C4894A9" w14:textId="77777777">
            <w:r>
              <w:rPr>
                <w:rFonts w:ascii="等线" w:hAnsi="等线" w:eastAsia="等线" w:cs="宋体"/>
                <w:kern w:val="2"/>
                <w:sz w:val="22"/>
                <w:szCs w:val="24"/>
              </w:rPr>
              <w:t>肝胆系统疾病</w:t>
            </w:r>
          </w:p>
        </w:tc>
        <w:tc>
          <w:tcPr>
            <w:tcW w:w="1539" w:type="dxa"/>
            <w:tcMar>
              <w:top w:w="15" w:type="dxa"/>
              <w:left w:w="15" w:type="dxa"/>
              <w:bottom w:w="15" w:type="dxa"/>
              <w:right w:w="15" w:type="dxa"/>
            </w:tcMar>
            <w:vAlign w:val="center"/>
            <w:hideMark/>
          </w:tcPr>
          <w:p w14:paraId="677C02D7" w14:textId="77777777">
            <w:r>
              <w:rPr>
                <w:rFonts w:ascii="等线" w:hAnsi="等线" w:eastAsia="等线" w:cs="宋体"/>
                <w:kern w:val="2"/>
                <w:sz w:val="22"/>
                <w:szCs w:val="24"/>
              </w:rPr>
              <w:t>药物诱导的肝损伤</w:t>
            </w:r>
          </w:p>
        </w:tc>
        <w:tc>
          <w:tcPr>
            <w:tcW w:w="170" w:type="dxa"/>
            <w:tcMar>
              <w:top w:w="15" w:type="dxa"/>
              <w:left w:w="15" w:type="dxa"/>
              <w:bottom w:w="15" w:type="dxa"/>
              <w:right w:w="15" w:type="dxa"/>
            </w:tcMar>
            <w:vAlign w:val="center"/>
            <w:hideMark/>
          </w:tcPr>
          <w:p w14:paraId="1B85DE14" w14:textId="77777777">
            <w:r>
              <w:rPr>
                <w:rFonts w:ascii="等线" w:hAnsi="等线" w:eastAsia="等线" w:cs="宋体"/>
                <w:kern w:val="2"/>
                <w:sz w:val="22"/>
                <w:szCs w:val="24"/>
              </w:rPr>
              <w:t>-</w:t>
            </w:r>
          </w:p>
        </w:tc>
        <w:tc>
          <w:tcPr>
            <w:tcW w:w="1568" w:type="dxa"/>
            <w:tcMar>
              <w:top w:w="15" w:type="dxa"/>
              <w:left w:w="15" w:type="dxa"/>
              <w:bottom w:w="15" w:type="dxa"/>
              <w:right w:w="15" w:type="dxa"/>
            </w:tcMar>
            <w:vAlign w:val="center"/>
            <w:hideMark/>
          </w:tcPr>
          <w:p w14:paraId="79A57549" w14:textId="77777777">
            <w:r>
              <w:rPr>
                <w:rFonts w:ascii="等线" w:hAnsi="等线" w:eastAsia="等线" w:cs="宋体"/>
                <w:kern w:val="2"/>
                <w:sz w:val="22"/>
                <w:szCs w:val="24"/>
              </w:rPr>
              <w:t>1（2.0）</w:t>
            </w:r>
          </w:p>
        </w:tc>
        <w:tc>
          <w:tcPr>
            <w:tcW w:w="1568" w:type="dxa"/>
            <w:tcMar>
              <w:top w:w="15" w:type="dxa"/>
              <w:left w:w="15" w:type="dxa"/>
              <w:bottom w:w="15" w:type="dxa"/>
              <w:right w:w="15" w:type="dxa"/>
            </w:tcMar>
            <w:vAlign w:val="center"/>
            <w:hideMark/>
          </w:tcPr>
          <w:p w14:paraId="5B91716C" w14:textId="77777777">
            <w:r>
              <w:rPr>
                <w:rFonts w:ascii="等线" w:hAnsi="等线" w:eastAsia="等线" w:cs="宋体"/>
                <w:kern w:val="2"/>
                <w:sz w:val="22"/>
                <w:szCs w:val="24"/>
              </w:rPr>
              <w:t>0（0.0）</w:t>
            </w:r>
          </w:p>
        </w:tc>
        <w:tc>
          <w:tcPr>
            <w:tcW w:w="1880" w:type="dxa"/>
            <w:tcMar>
              <w:top w:w="15" w:type="dxa"/>
              <w:left w:w="15" w:type="dxa"/>
              <w:bottom w:w="15" w:type="dxa"/>
              <w:right w:w="15" w:type="dxa"/>
            </w:tcMar>
            <w:vAlign w:val="center"/>
            <w:hideMark/>
          </w:tcPr>
          <w:p w14:paraId="75B91878" w14:textId="77777777">
            <w:r>
              <w:rPr>
                <w:rFonts w:ascii="等线" w:hAnsi="等线" w:eastAsia="等线" w:cs="宋体"/>
                <w:kern w:val="2"/>
                <w:sz w:val="22"/>
                <w:szCs w:val="24"/>
              </w:rPr>
              <w:t>0（0.0）</w:t>
            </w:r>
          </w:p>
        </w:tc>
      </w:tr>
    </w:tbl>
    <w:p w14:paraId="096D2572" w14:textId="77777777">
      <w:r>
        <w:rPr>
          <w:rFonts w:ascii="等线" w:hAnsi="等线" w:eastAsia="等线" w:cs="宋体"/>
          <w:kern w:val="2"/>
          <w:sz w:val="22"/>
          <w:szCs w:val="24"/>
        </w:rPr>
        <w:t>注：SOC：系统器官分类，SARs：严重不良反应，n：发生SAR的试验参与者数量</w:t>
      </w:r>
    </w:p>
    <w:p w14:paraId="3B424834" w14:textId="77777777"/>
    <w:sectPr>
      <w:pgSz w:w="11906" w:h="16838"/>
      <w:pgMar w:top="1440" w:right="1800"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99B0" w14:textId="77777777">
      <w:pPr>
        <w:spacing w:after="0" w:line="240" w:lineRule="auto"/>
      </w:pPr>
      <w:r>
        <w:separator/>
      </w:r>
    </w:p>
  </w:endnote>
  <w:endnote w:type="continuationSeparator" w:id="0">
    <w:p w14:paraId="56AA53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1CDE" w14:textId="77777777">
      <w:pPr>
        <w:spacing w:after="0" w:line="240" w:lineRule="auto"/>
      </w:pPr>
      <w:r>
        <w:separator/>
      </w:r>
    </w:p>
  </w:footnote>
  <w:footnote w:type="continuationSeparator" w:id="0">
    <w:p w14:paraId="1A0C83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5FAEF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98217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EFC6D5C"/>
    <w:multiLevelType w:val="hybridMultilevel"/>
    <w:tmpl w:val="6B9A4990"/>
    <w:lvl w:ilvl="0" w:tplc="D93EB6D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1C0FA0"/>
    <w:multiLevelType w:val="multilevel"/>
    <w:tmpl w:val="A53C67D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1062600864">
    <w:abstractNumId w:val="1"/>
  </w:num>
  <w:num w:numId="2" w16cid:durableId="1094206862">
    <w:abstractNumId w:val="0"/>
  </w:num>
  <w:num w:numId="3" w16cid:durableId="1014532">
    <w:abstractNumId w:val="3"/>
  </w:num>
  <w:num w:numId="4" w16cid:durableId="1563710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C3"/>
    <w:rsid w:val="0000486D"/>
    <w:rsid w:val="00014D8F"/>
    <w:rsid w:val="00033EFE"/>
    <w:rsid w:val="00076FA4"/>
    <w:rsid w:val="0009495B"/>
    <w:rsid w:val="000D6804"/>
    <w:rsid w:val="001200F0"/>
    <w:rsid w:val="001746DD"/>
    <w:rsid w:val="001849A2"/>
    <w:rsid w:val="001A130D"/>
    <w:rsid w:val="001A2E3F"/>
    <w:rsid w:val="001B3DF2"/>
    <w:rsid w:val="001C30A5"/>
    <w:rsid w:val="00205D74"/>
    <w:rsid w:val="0028068D"/>
    <w:rsid w:val="002839B7"/>
    <w:rsid w:val="00323EDC"/>
    <w:rsid w:val="003360E5"/>
    <w:rsid w:val="00354486"/>
    <w:rsid w:val="00361BA5"/>
    <w:rsid w:val="003623E1"/>
    <w:rsid w:val="00372311"/>
    <w:rsid w:val="003A0B52"/>
    <w:rsid w:val="003C6A2D"/>
    <w:rsid w:val="00415DBA"/>
    <w:rsid w:val="00436DE7"/>
    <w:rsid w:val="004D6B83"/>
    <w:rsid w:val="004E3DD6"/>
    <w:rsid w:val="00513921"/>
    <w:rsid w:val="005212A5"/>
    <w:rsid w:val="0053097D"/>
    <w:rsid w:val="00545626"/>
    <w:rsid w:val="00571E14"/>
    <w:rsid w:val="00596147"/>
    <w:rsid w:val="005B7134"/>
    <w:rsid w:val="006451EC"/>
    <w:rsid w:val="006503C8"/>
    <w:rsid w:val="00650826"/>
    <w:rsid w:val="006646F2"/>
    <w:rsid w:val="006665E9"/>
    <w:rsid w:val="006A7E85"/>
    <w:rsid w:val="0072784C"/>
    <w:rsid w:val="0078051D"/>
    <w:rsid w:val="00784DBB"/>
    <w:rsid w:val="00795559"/>
    <w:rsid w:val="007B597C"/>
    <w:rsid w:val="007C3FF3"/>
    <w:rsid w:val="007D7C3F"/>
    <w:rsid w:val="007F0FD9"/>
    <w:rsid w:val="00800A87"/>
    <w:rsid w:val="0082713F"/>
    <w:rsid w:val="008943BC"/>
    <w:rsid w:val="008A5E17"/>
    <w:rsid w:val="008B11D7"/>
    <w:rsid w:val="008C32DC"/>
    <w:rsid w:val="008E1C26"/>
    <w:rsid w:val="008F27C1"/>
    <w:rsid w:val="00953A31"/>
    <w:rsid w:val="009A6DC3"/>
    <w:rsid w:val="009B7923"/>
    <w:rsid w:val="009C20BD"/>
    <w:rsid w:val="009D2138"/>
    <w:rsid w:val="00A34CD5"/>
    <w:rsid w:val="00A7203D"/>
    <w:rsid w:val="00A927F1"/>
    <w:rsid w:val="00AA3F55"/>
    <w:rsid w:val="00AD259E"/>
    <w:rsid w:val="00AE530A"/>
    <w:rsid w:val="00B226FD"/>
    <w:rsid w:val="00B26BF7"/>
    <w:rsid w:val="00B64620"/>
    <w:rsid w:val="00BB0D2D"/>
    <w:rsid w:val="00C200A5"/>
    <w:rsid w:val="00C2018A"/>
    <w:rsid w:val="00C846B3"/>
    <w:rsid w:val="00CA736B"/>
    <w:rsid w:val="00CB0278"/>
    <w:rsid w:val="00CC0EBD"/>
    <w:rsid w:val="00D33231"/>
    <w:rsid w:val="00D37584"/>
    <w:rsid w:val="00D42673"/>
    <w:rsid w:val="00D94A66"/>
    <w:rsid w:val="00E61FF6"/>
    <w:rsid w:val="00EA77A4"/>
    <w:rsid w:val="00EA7EE7"/>
    <w:rsid w:val="00EE3E3B"/>
    <w:rsid w:val="00F02A6E"/>
    <w:rsid w:val="00F24021"/>
    <w:rsid w:val="00F849F3"/>
    <w:rsid w:val="00F90C8A"/>
    <w:rsid w:val="00F93BA0"/>
    <w:rsid w:val="00FA4B5D"/>
    <w:rsid w:val="00FD1EE9"/>
    <w:rsid w:val="00FF5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395CC"/>
  <w15:docId w15:val="{2CD3F022-EDE5-4B47-BFB9-21BD9BA8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2F5496"/>
      <w:sz w:val="48"/>
      <w:szCs w:val="48"/>
    </w:rPr>
  </w:style>
  <w:style w:type="paragraph" w:styleId="2">
    <w:name w:val="heading 2"/>
    <w:basedOn w:val="a"/>
    <w:next w:val="a"/>
    <w:link w:val="20"/>
    <w:uiPriority w:val="9"/>
    <w:unhideWhenUsed/>
    <w:qFormat/>
    <w:pPr>
      <w:keepNext/>
      <w:keepLines/>
      <w:spacing w:before="160" w:after="80"/>
      <w:outlineLvl w:val="1"/>
    </w:pPr>
    <w:rPr>
      <w:rFonts w:ascii="等线 Light" w:eastAsia="等线 Light" w:hAnsi="等线 Light"/>
      <w:color w:val="2F5496"/>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pPr>
      <w:keepNext/>
      <w:keepLines/>
      <w:spacing w:before="80" w:after="40"/>
      <w:outlineLvl w:val="4"/>
    </w:pPr>
    <w:rPr>
      <w:color w:val="2F5496"/>
      <w:sz w:val="24"/>
    </w:rPr>
  </w:style>
  <w:style w:type="paragraph" w:styleId="6">
    <w:name w:val="heading 6"/>
    <w:basedOn w:val="a"/>
    <w:next w:val="a"/>
    <w:link w:val="60"/>
    <w:uiPriority w:val="9"/>
    <w:semiHidden/>
    <w:unhideWhenUsed/>
    <w:qFormat/>
    <w:pPr>
      <w:keepNext/>
      <w:keepLines/>
      <w:spacing w:before="40" w:after="0"/>
      <w:outlineLvl w:val="5"/>
    </w:pPr>
    <w:rPr>
      <w:b/>
      <w:bCs/>
      <w:color w:val="2F5496"/>
    </w:rPr>
  </w:style>
  <w:style w:type="paragraph" w:styleId="7">
    <w:name w:val="heading 7"/>
    <w:basedOn w:val="a"/>
    <w:next w:val="a"/>
    <w:link w:val="70"/>
    <w:uiPriority w:val="9"/>
    <w:qFormat/>
    <w:pPr>
      <w:keepNext/>
      <w:keepLines/>
      <w:spacing w:before="40" w:after="0"/>
      <w:outlineLvl w:val="6"/>
    </w:pPr>
    <w:rPr>
      <w:b/>
      <w:bCs/>
      <w:color w:val="595959"/>
    </w:rPr>
  </w:style>
  <w:style w:type="paragraph" w:styleId="8">
    <w:name w:val="heading 8"/>
    <w:basedOn w:val="a"/>
    <w:next w:val="a"/>
    <w:link w:val="80"/>
    <w:uiPriority w:val="9"/>
    <w:qFormat/>
    <w:pPr>
      <w:keepNext/>
      <w:keepLines/>
      <w:spacing w:after="0"/>
      <w:outlineLvl w:val="7"/>
    </w:pPr>
    <w:rPr>
      <w:color w:val="595959"/>
    </w:rPr>
  </w:style>
  <w:style w:type="paragraph" w:styleId="9">
    <w:name w:val="heading 9"/>
    <w:basedOn w:val="a"/>
    <w:next w:val="a"/>
    <w:link w:val="90"/>
    <w:uiPriority w:val="9"/>
    <w:qFormat/>
    <w:pPr>
      <w:keepNext/>
      <w:keepLines/>
      <w:spacing w:after="0"/>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1"/>
    <w:link w:val="12"/>
    <w:qFormat/>
    <w:pPr>
      <w:spacing w:after="0" w:line="240" w:lineRule="auto"/>
    </w:pPr>
    <w:rPr>
      <w:color w:val="000000"/>
      <w:sz w:val="21"/>
      <w:szCs w:val="22"/>
    </w:rPr>
  </w:style>
  <w:style w:type="character" w:customStyle="1" w:styleId="12">
    <w:name w:val="样式1 字符"/>
    <w:basedOn w:val="10"/>
    <w:link w:val="11"/>
    <w:rPr>
      <w:rFonts w:ascii="等线 Light" w:eastAsia="等线 Light" w:hAnsi="等线 Light" w:cs="宋体"/>
      <w:color w:val="000000"/>
      <w:sz w:val="21"/>
      <w:szCs w:val="22"/>
    </w:rPr>
  </w:style>
  <w:style w:type="character" w:customStyle="1" w:styleId="10">
    <w:name w:val="标题 1 字符"/>
    <w:basedOn w:val="a0"/>
    <w:link w:val="1"/>
    <w:uiPriority w:val="9"/>
    <w:rPr>
      <w:rFonts w:ascii="等线 Light" w:eastAsia="等线 Light" w:hAnsi="等线 Light" w:cs="宋体"/>
      <w:color w:val="2F5496"/>
      <w:sz w:val="48"/>
      <w:szCs w:val="48"/>
    </w:rPr>
  </w:style>
  <w:style w:type="character" w:customStyle="1" w:styleId="20">
    <w:name w:val="标题 2 字符"/>
    <w:basedOn w:val="a0"/>
    <w:link w:val="2"/>
    <w:uiPriority w:val="9"/>
    <w:rPr>
      <w:rFonts w:ascii="等线 Light" w:eastAsia="等线 Light" w:hAnsi="等线 Light" w:cs="宋体"/>
      <w:color w:val="2F5496"/>
      <w:sz w:val="40"/>
      <w:szCs w:val="40"/>
    </w:rPr>
  </w:style>
  <w:style w:type="character" w:customStyle="1" w:styleId="30">
    <w:name w:val="标题 3 字符"/>
    <w:basedOn w:val="a0"/>
    <w:link w:val="3"/>
    <w:uiPriority w:val="9"/>
    <w:rPr>
      <w:rFonts w:ascii="等线 Light" w:eastAsia="等线 Light" w:hAnsi="等线 Light" w:cs="宋体"/>
      <w:color w:val="2F5496"/>
      <w:sz w:val="32"/>
      <w:szCs w:val="32"/>
    </w:rPr>
  </w:style>
  <w:style w:type="character" w:customStyle="1" w:styleId="40">
    <w:name w:val="标题 4 字符"/>
    <w:basedOn w:val="a0"/>
    <w:link w:val="4"/>
    <w:uiPriority w:val="9"/>
    <w:rPr>
      <w:rFonts w:cs="宋体"/>
      <w:color w:val="2F5496"/>
      <w:sz w:val="28"/>
      <w:szCs w:val="28"/>
    </w:rPr>
  </w:style>
  <w:style w:type="character" w:customStyle="1" w:styleId="50">
    <w:name w:val="标题 5 字符"/>
    <w:basedOn w:val="a0"/>
    <w:link w:val="5"/>
    <w:uiPriority w:val="9"/>
    <w:rPr>
      <w:rFonts w:cs="宋体"/>
      <w:color w:val="2F5496"/>
      <w:sz w:val="24"/>
    </w:rPr>
  </w:style>
  <w:style w:type="character" w:customStyle="1" w:styleId="60">
    <w:name w:val="标题 6 字符"/>
    <w:basedOn w:val="a0"/>
    <w:link w:val="6"/>
    <w:uiPriority w:val="9"/>
    <w:rPr>
      <w:rFonts w:cs="宋体"/>
      <w:b/>
      <w:bCs/>
      <w:color w:val="2F5496"/>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next w:val="a"/>
    <w:link w:val="a4"/>
    <w:uiPriority w:val="10"/>
    <w:qFormat/>
    <w:pPr>
      <w:spacing w:after="80" w:line="240" w:lineRule="auto"/>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next w:val="a"/>
    <w:link w:val="a6"/>
    <w:uiPriority w:val="11"/>
    <w:qFormat/>
    <w:pPr>
      <w:numPr>
        <w:ilvl w:val="1"/>
      </w:numPr>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next w:val="a"/>
    <w:link w:val="a8"/>
    <w:uiPriority w:val="29"/>
    <w:qFormat/>
    <w:pPr>
      <w:spacing w:before="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2F5496"/>
    </w:rPr>
  </w:style>
  <w:style w:type="paragraph" w:styleId="ab">
    <w:name w:val="Intense Quote"/>
    <w:basedOn w:val="a"/>
    <w:next w:val="a"/>
    <w:link w:val="ac"/>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basedOn w:val="a0"/>
    <w:link w:val="ab"/>
    <w:uiPriority w:val="30"/>
    <w:rPr>
      <w:i/>
      <w:iCs/>
      <w:color w:val="2F5496"/>
    </w:rPr>
  </w:style>
  <w:style w:type="character" w:styleId="ad">
    <w:name w:val="Intense Reference"/>
    <w:basedOn w:val="a0"/>
    <w:uiPriority w:val="32"/>
    <w:qFormat/>
    <w:rPr>
      <w:b/>
      <w:bCs/>
      <w:smallCaps/>
      <w:color w:val="2F5496"/>
      <w:spacing w:val="5"/>
    </w:rPr>
  </w:style>
  <w:style w:type="paragraph" w:styleId="ae">
    <w:name w:val="header"/>
    <w:basedOn w:val="a"/>
    <w:link w:val="af"/>
    <w:uiPriority w:val="9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Pr>
      <w:sz w:val="18"/>
      <w:szCs w:val="18"/>
    </w:rPr>
  </w:style>
  <w:style w:type="paragraph" w:styleId="af0">
    <w:name w:val="footer"/>
    <w:basedOn w:val="a"/>
    <w:link w:val="af1"/>
    <w:uiPriority w:val="9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6B5CB-141C-432E-B1A3-303E96778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13</Pages>
  <Words>3863</Words>
  <Characters>4482</Characters>
  <Application>Microsoft Office Word</Application>
  <DocSecurity>0</DocSecurity>
  <Lines>172</Lines>
  <Paragraphs>108</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MYM</dc:creator>
  <cp:lastModifiedBy>M</cp:lastModifiedBy>
  <cp:revision>63</cp:revision>
  <dcterms:created xsi:type="dcterms:W3CDTF">2026-06-16T14:35:00Z</dcterms:created>
  <dcterms:modified xsi:type="dcterms:W3CDTF">2026-07-09T13:14:59.555Z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0a2f9a52ee5849a3b5a7b10908c8214b_23</vt:lpwstr>
  </property>
</Properties>
</file>