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646E7D"/>
          <w:sz w:val="19"/>
        </w:rPr>
        <w:t>LYNX EMS SISTEMA &amp; CONSULTORIA</w:t>
        <w:br/>
      </w:r>
      <w:r>
        <w:rPr>
          <w:color w:val="646E7D"/>
          <w:sz w:val="17"/>
        </w:rPr>
        <w:t>DOCUMENTO TÉCNICO-COMERCIAL | REF: PC-2026/MF-09</w:t>
      </w:r>
    </w:p>
    <w:p>
      <w:pPr>
        <w:spacing w:before="360" w:after="80"/>
      </w:pPr>
      <w:r>
        <w:rPr>
          <w:b/>
          <w:color w:val="D9531E"/>
          <w:sz w:val="26"/>
        </w:rPr>
        <w:t>PROPOSTA TÉCNICA E COMERCIAL — EXPANSÃO MODULAR METALFISA</w:t>
        <w:br/>
      </w:r>
      <w:r>
        <w:rPr>
          <w:b/>
          <w:color w:val="0E2B5C"/>
          <w:sz w:val="42"/>
        </w:rPr>
        <w:t>Expansão do Ecossistema Integrado Metalfisa</w:t>
        <w:br/>
      </w:r>
      <w:r>
        <w:rPr>
          <w:color w:val="646E7D"/>
          <w:sz w:val="22"/>
        </w:rPr>
        <w:t>Implantação dos Módulos Financeiro, Fiscal, DP, SST, RDO e Frotas com Integração Nativa Protheus e Inteligência Artificial</w:t>
      </w:r>
    </w:p>
    <w:p>
      <w:pPr>
        <w:spacing w:after="360"/>
      </w:pPr>
      <w:r>
        <w:rPr>
          <w:b/>
          <w:color w:val="D9531E"/>
        </w:rPr>
        <w:t>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96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0E2B5C"/>
                <w:sz w:val="17"/>
              </w:rPr>
              <w:t>FORNECEDOR / DESENVOLVEDOR:</w:t>
              <w:br/>
            </w:r>
            <w:r>
              <w:rPr>
                <w:color w:val="282C34"/>
                <w:sz w:val="18"/>
              </w:rPr>
              <w:t>LYNX EMS SISTEMA &amp; CONSULTORIA</w:t>
              <w:br/>
              <w:t>Responsável: Equipe de Engenharia de Software e Soluções</w:t>
              <w:br/>
              <w:t>Contato: edsonmanoel2012@gmail.com</w:t>
            </w:r>
          </w:p>
        </w:tc>
        <w:tc>
          <w:tcPr>
            <w:tcW w:type="dxa" w:w="4896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0E2B5C"/>
                <w:sz w:val="17"/>
              </w:rPr>
              <w:t>CLIENTE CONTRATANTE:</w:t>
              <w:br/>
            </w:r>
            <w:r>
              <w:rPr>
                <w:color w:val="282C34"/>
                <w:sz w:val="18"/>
              </w:rPr>
              <w:t>METALFISA INDÚSTRIA METALÚRGICA LTDA.</w:t>
              <w:br/>
              <w:t>Diretoria Executiva e Gestão de Operações</w:t>
            </w:r>
          </w:p>
        </w:tc>
      </w:tr>
      <w:tr>
        <w:tc>
          <w:tcPr>
            <w:tcW w:type="dxa" w:w="4896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0E2B5C"/>
                <w:sz w:val="17"/>
              </w:rPr>
              <w:t xml:space="preserve">DATA DE EMISSÃO: </w:t>
            </w:r>
            <w:r>
              <w:rPr>
                <w:sz w:val="18"/>
              </w:rPr>
              <w:t>Setembro de 2026</w:t>
              <w:br/>
            </w:r>
            <w:r>
              <w:rPr>
                <w:b/>
                <w:color w:val="0E2B5C"/>
                <w:sz w:val="17"/>
              </w:rPr>
              <w:t xml:space="preserve">VALIDADE DA PROPOSTA: </w:t>
            </w:r>
            <w:r>
              <w:rPr>
                <w:sz w:val="18"/>
              </w:rPr>
              <w:t>30 dias corridos</w:t>
            </w:r>
          </w:p>
        </w:tc>
        <w:tc>
          <w:tcPr>
            <w:tcW w:type="dxa" w:w="4896"/>
            <w:shd w:fill="F4F6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0E2B5C"/>
                <w:sz w:val="17"/>
              </w:rPr>
              <w:t xml:space="preserve">MODELO DE LICENCIAMENTO: </w:t>
            </w:r>
            <w:r>
              <w:rPr>
                <w:sz w:val="18"/>
              </w:rPr>
              <w:t>Usuários Ilimitados (Empresarial)</w:t>
              <w:br/>
            </w:r>
            <w:r>
              <w:rPr>
                <w:b/>
                <w:color w:val="0E2B5C"/>
                <w:sz w:val="17"/>
              </w:rPr>
              <w:t xml:space="preserve">INFRAESTRUTURA: </w:t>
            </w:r>
            <w:r>
              <w:rPr>
                <w:sz w:val="18"/>
              </w:rPr>
              <w:t>On-Premise / Servidor Local SINCO (192.168.1.77)</w:t>
            </w:r>
          </w:p>
        </w:tc>
      </w:tr>
    </w:tbl>
    <w:p>
      <w:pPr>
        <w:spacing w:before="240"/>
      </w:pPr>
    </w:p>
    <w:p>
      <w:pPr>
        <w:keepNext/>
        <w:spacing w:before="320" w:after="100"/>
      </w:pPr>
      <w:r>
        <w:rPr>
          <w:b/>
          <w:color w:val="0E2B5C"/>
          <w:sz w:val="26"/>
        </w:rPr>
        <w:t>1. INTRODUÇÃO E VISÃO ESTRATÉGICA</w:t>
      </w:r>
    </w:p>
    <w:p>
      <w:pPr>
        <w:spacing w:before="0" w:after="100" w:line="276" w:lineRule="auto"/>
      </w:pPr>
      <w:r>
        <w:rPr>
          <w:color w:val="282C34"/>
          <w:sz w:val="19"/>
        </w:rPr>
        <w:t>A presente proposta formaliza o plano de expansão do sistema integrado da METALFISA sob a arquitetura da LYNX, incorporando seis novos módulos de alto valor agregado à rotina operacional da empresa. O projeto unifica o fluxo de informações entre chão de fábrica, engenharia, compras, fiscal, departamento pessoal, segurança do trabalho e diretoria.</w:t>
      </w:r>
    </w:p>
    <w:p>
      <w:pPr>
        <w:spacing w:before="0" w:after="100" w:line="276" w:lineRule="auto"/>
      </w:pPr>
      <w:r>
        <w:rPr>
          <w:color w:val="282C34"/>
          <w:sz w:val="19"/>
        </w:rPr>
        <w:t>A solução opera de maneira nativa com o banco de dados do TOTVS Protheus, aproveitando a infraestrutura existente do servidor local SINCO (192.168.1.77) e os agentes de CAD SolidEdge/SolidWorks, com processamento rápido e segurança total de dados.</w:t>
      </w:r>
    </w:p>
    <w:p>
      <w:pPr>
        <w:keepNext/>
        <w:spacing w:before="320" w:after="100"/>
      </w:pPr>
      <w:r>
        <w:rPr>
          <w:b/>
          <w:color w:val="0E2B5C"/>
          <w:sz w:val="26"/>
        </w:rPr>
        <w:t>2. DIRETRIZES TÉCNICAS E AMBIENTE DE HOMOLOGAÇÃO</w:t>
      </w:r>
    </w:p>
    <w:p>
      <w:pPr>
        <w:pStyle w:val="ListBullet"/>
        <w:spacing w:before="0" w:after="60" w:line="276" w:lineRule="auto"/>
      </w:pPr>
      <w:r>
        <w:rPr>
          <w:b/>
          <w:color w:val="0E2B5C"/>
          <w:sz w:val="19"/>
        </w:rPr>
        <w:t xml:space="preserve">Ambiente Seguro de Homologação: </w:t>
      </w:r>
      <w:r>
        <w:rPr>
          <w:color w:val="282C34"/>
          <w:sz w:val="19"/>
        </w:rPr>
        <w:t>Homologação assistida em Base de Testes do Protheus antes da virada em produção</w:t>
      </w:r>
    </w:p>
    <w:p>
      <w:pPr>
        <w:pStyle w:val="ListBullet"/>
        <w:spacing w:before="0" w:after="60" w:line="276" w:lineRule="auto"/>
      </w:pPr>
      <w:r>
        <w:rPr>
          <w:b/>
          <w:color w:val="0E2B5C"/>
          <w:sz w:val="19"/>
        </w:rPr>
        <w:t xml:space="preserve">Integração de Ponto Eletrônico: </w:t>
      </w:r>
      <w:r>
        <w:rPr>
          <w:color w:val="282C34"/>
          <w:sz w:val="19"/>
        </w:rPr>
        <w:t>Suporte a coletores Portaria 671 / MTE e arquivos AFD/AFDT padrão</w:t>
      </w:r>
    </w:p>
    <w:p>
      <w:pPr>
        <w:pStyle w:val="ListBullet"/>
        <w:spacing w:before="0" w:after="60" w:line="276" w:lineRule="auto"/>
      </w:pPr>
      <w:r>
        <w:rPr>
          <w:b/>
          <w:color w:val="0E2B5C"/>
          <w:sz w:val="19"/>
        </w:rPr>
        <w:t xml:space="preserve">Pontos de Integração Protheus: </w:t>
      </w:r>
      <w:r>
        <w:rPr>
          <w:color w:val="282C34"/>
          <w:sz w:val="19"/>
        </w:rPr>
        <w:t>Tabelas SE1, SE2, SE5, SF1, SF2, SD1, SD2, SC7, SRA, SRD via banco de dados e APIs TLPP</w:t>
      </w:r>
    </w:p>
    <w:p>
      <w:pPr>
        <w:keepNext/>
        <w:spacing w:before="320" w:after="100"/>
      </w:pPr>
      <w:r>
        <w:rPr>
          <w:b/>
          <w:color w:val="0E2B5C"/>
          <w:sz w:val="26"/>
        </w:rPr>
        <w:t>3. ESCOPO DETALHADO DOS 6 MÓDULOS</w:t>
      </w:r>
    </w:p>
    <w:p>
      <w:pPr>
        <w:keepNext/>
        <w:spacing w:before="220" w:after="60"/>
      </w:pPr>
      <w:r>
        <w:rPr>
          <w:b/>
          <w:color w:val="D9531E"/>
          <w:sz w:val="22"/>
        </w:rPr>
        <w:t>3.1. Módulo Financeiro &amp; Controladoria Dinâmica</w:t>
      </w:r>
    </w:p>
    <w:p>
      <w:pPr>
        <w:spacing w:before="0" w:after="100" w:line="276" w:lineRule="auto"/>
      </w:pPr>
      <w:r>
        <w:rPr>
          <w:color w:val="282C34"/>
          <w:sz w:val="19"/>
        </w:rPr>
        <w:t>Gestão financeira completa com foco em fluxo de caixa, apuração de custos por setor e auditoria preditiva via IA.</w:t>
      </w:r>
    </w:p>
    <w:p>
      <w:pPr>
        <w:pStyle w:val="ListBullet"/>
        <w:spacing w:before="0" w:after="60" w:line="276" w:lineRule="auto"/>
      </w:pPr>
      <w:r>
        <w:rPr>
          <w:b/>
          <w:color w:val="0E2B5C"/>
          <w:sz w:val="19"/>
        </w:rPr>
        <w:t xml:space="preserve">Controle de Fluxo de Caixa Diário e Projetado: </w:t>
      </w:r>
      <w:r>
        <w:rPr>
          <w:color w:val="282C34"/>
          <w:sz w:val="19"/>
        </w:rPr>
        <w:t>Visão temporal interativa de D+0 a D+360 cruzando saldos bancários, carteira de pedidos Protheus (SC5/SC6), títulos a receber (SE1) e ordens de compra/contas a pagar (SC7/SE2).</w:t>
      </w:r>
    </w:p>
    <w:p>
      <w:pPr>
        <w:pStyle w:val="ListBullet"/>
        <w:spacing w:before="0" w:after="60" w:line="276" w:lineRule="auto"/>
      </w:pPr>
      <w:r>
        <w:rPr>
          <w:b/>
          <w:color w:val="0E2B5C"/>
          <w:sz w:val="19"/>
        </w:rPr>
        <w:t xml:space="preserve">Conciliação Bancária Automatizada (OFX e CSV): </w:t>
      </w:r>
      <w:r>
        <w:rPr>
          <w:color w:val="282C34"/>
          <w:sz w:val="19"/>
        </w:rPr>
        <w:t>Importação rápida de extratos bancários com conferência automática dos movimentos (SE5), geração facilitada de baixas e captura de tarifas e encargos.</w:t>
      </w:r>
    </w:p>
    <w:p>
      <w:pPr>
        <w:pStyle w:val="ListBullet"/>
        <w:spacing w:before="0" w:after="60" w:line="276" w:lineRule="auto"/>
      </w:pPr>
      <w:r>
        <w:rPr>
          <w:b/>
          <w:color w:val="0E2B5C"/>
          <w:sz w:val="19"/>
        </w:rPr>
        <w:t xml:space="preserve">DRE Gerencial Dinâmica por Projeto, Produto e Cliente: </w:t>
      </w:r>
      <w:r>
        <w:rPr>
          <w:color w:val="282C34"/>
          <w:sz w:val="19"/>
        </w:rPr>
        <w:t>Demonstração do Resultado em tempo real calculando Receita Bruta, Deduções, Custo dos Produtos Vendidos (CPV Real), Margem de Contribuição e EBITDA com drill-down por cliente e OP.</w:t>
      </w:r>
    </w:p>
    <w:p>
      <w:pPr>
        <w:pStyle w:val="ListBullet"/>
        <w:spacing w:before="0" w:after="60" w:line="276" w:lineRule="auto"/>
      </w:pPr>
      <w:r>
        <w:rPr>
          <w:b/>
          <w:color w:val="0E2B5C"/>
          <w:sz w:val="19"/>
        </w:rPr>
        <w:t xml:space="preserve">Agente AI Dinâmico Protheus (Auditor Contábil e Fiscal): </w:t>
      </w:r>
      <w:r>
        <w:rPr>
          <w:color w:val="282C34"/>
          <w:sz w:val="19"/>
        </w:rPr>
        <w:t>Agente autônomo baseado em IA que monitora discrepâncias contábeis, divergências de parâmetros contábeis, títulos sem centro de custo e riscos de desvios orçamentários.</w:t>
      </w:r>
    </w:p>
    <w:p>
      <w:pPr>
        <w:pStyle w:val="ListBullet"/>
        <w:spacing w:before="0" w:after="60" w:line="276" w:lineRule="auto"/>
      </w:pPr>
      <w:r>
        <w:rPr>
          <w:b/>
          <w:color w:val="0E2B5C"/>
          <w:sz w:val="19"/>
        </w:rPr>
        <w:t xml:space="preserve">Apropriação de Custos por Setor e Processo Produtivo: </w:t>
      </w:r>
      <w:r>
        <w:rPr>
          <w:color w:val="282C34"/>
          <w:sz w:val="19"/>
        </w:rPr>
        <w:t>Apuração dos custos reais de fabricação por centro de trabalho (Corte Laser, Dobra CNC, Solda, Caldeiraria, Pintura e Montagem), alimentado pelos tempos das OPs.</w:t>
      </w:r>
    </w:p>
    <w:p>
      <w:pPr>
        <w:keepNext/>
        <w:spacing w:before="220" w:after="60"/>
      </w:pPr>
      <w:r>
        <w:rPr>
          <w:b/>
          <w:color w:val="D9531E"/>
          <w:sz w:val="22"/>
        </w:rPr>
        <w:t>3.2. Módulo Fiscal &amp; Gestão de Suprimentos</w:t>
      </w:r>
    </w:p>
    <w:p>
      <w:pPr>
        <w:spacing w:before="0" w:after="100" w:line="276" w:lineRule="auto"/>
      </w:pPr>
      <w:r>
        <w:rPr>
          <w:color w:val="282C34"/>
          <w:sz w:val="19"/>
        </w:rPr>
        <w:t>Recebimento inteligente de NFs, confronto 3-Way Matching e controle rigoroso de saldos de fornecedores e estoques de terceiros.</w:t>
      </w:r>
    </w:p>
    <w:p>
      <w:pPr>
        <w:pStyle w:val="ListBullet"/>
        <w:spacing w:before="0" w:after="60" w:line="276" w:lineRule="auto"/>
      </w:pPr>
      <w:r>
        <w:rPr>
          <w:b/>
          <w:color w:val="0E2B5C"/>
          <w:sz w:val="19"/>
        </w:rPr>
        <w:t xml:space="preserve">Recebimento de NF-e e Confronto Triplo Automático (3-Way Matching): </w:t>
      </w:r>
      <w:r>
        <w:rPr>
          <w:color w:val="282C34"/>
          <w:sz w:val="19"/>
        </w:rPr>
        <w:t>Cruzamento automático do XML da nota fiscal do fornecedor com o Pedido de Compra do Protheus (SC7) e o recebimento físico do almoxarifado, validando impostos antes da escrituração.</w:t>
      </w:r>
    </w:p>
    <w:p>
      <w:pPr>
        <w:pStyle w:val="ListBullet"/>
        <w:spacing w:before="0" w:after="60" w:line="276" w:lineRule="auto"/>
      </w:pPr>
      <w:r>
        <w:rPr>
          <w:b/>
          <w:color w:val="0E2B5C"/>
          <w:sz w:val="19"/>
        </w:rPr>
        <w:t xml:space="preserve">Painel de Saldo Aberto em Fornecedores: </w:t>
      </w:r>
      <w:r>
        <w:rPr>
          <w:color w:val="282C34"/>
          <w:sz w:val="19"/>
        </w:rPr>
        <w:t>Acompanhamento em tempo real de saldos físicos e financeiros pendentes por fornecedor, com histórico de pontualidade de entrega (OTIF).</w:t>
      </w:r>
    </w:p>
    <w:p>
      <w:pPr>
        <w:pStyle w:val="ListBullet"/>
        <w:spacing w:before="0" w:after="60" w:line="276" w:lineRule="auto"/>
      </w:pPr>
      <w:r>
        <w:rPr>
          <w:b/>
          <w:color w:val="0E2B5C"/>
          <w:sz w:val="19"/>
        </w:rPr>
        <w:t xml:space="preserve">Provisão de Compras e Entregas Escalonadas: </w:t>
      </w:r>
      <w:r>
        <w:rPr>
          <w:color w:val="282C34"/>
          <w:sz w:val="19"/>
        </w:rPr>
        <w:t>Gestão de compras de matéria-prima (chapas, bobinas, perfis) com entregas programadas parceladas, integrado ao planejamento de consumo do PCP.</w:t>
      </w:r>
    </w:p>
    <w:p>
      <w:pPr>
        <w:pStyle w:val="ListBullet"/>
        <w:spacing w:before="0" w:after="60" w:line="276" w:lineRule="auto"/>
      </w:pPr>
      <w:r>
        <w:rPr>
          <w:b/>
          <w:color w:val="0E2B5C"/>
          <w:sz w:val="19"/>
        </w:rPr>
        <w:t xml:space="preserve">Saldo Fiscal por Processo, Almoxarifado, Projetos e Clientes: </w:t>
      </w:r>
      <w:r>
        <w:rPr>
          <w:color w:val="282C34"/>
          <w:sz w:val="19"/>
        </w:rPr>
        <w:t>Controle de saldo de materiais em poder de terceiros (galvanização, tratamento térmico, pintura) e matérias-primas consignadas por clientes ou projetos.</w:t>
      </w:r>
    </w:p>
    <w:p>
      <w:pPr>
        <w:keepNext/>
        <w:spacing w:before="220" w:after="60"/>
      </w:pPr>
      <w:r>
        <w:rPr>
          <w:b/>
          <w:color w:val="D9531E"/>
          <w:sz w:val="22"/>
        </w:rPr>
        <w:t>3.3. Módulo Departamento Pessoal &amp; Custos de Mão de Obra</w:t>
      </w:r>
    </w:p>
    <w:p>
      <w:pPr>
        <w:spacing w:before="0" w:after="100" w:line="276" w:lineRule="auto"/>
      </w:pPr>
      <w:r>
        <w:rPr>
          <w:color w:val="282C34"/>
          <w:sz w:val="19"/>
        </w:rPr>
        <w:t>Integração com relógio de ponto eletrônico, folha Protheus e cálculo matemático do custo hora-homem real por centro de custo.</w:t>
      </w:r>
    </w:p>
    <w:p>
      <w:pPr>
        <w:pStyle w:val="ListBullet"/>
        <w:spacing w:before="0" w:after="60" w:line="276" w:lineRule="auto"/>
      </w:pPr>
      <w:r>
        <w:rPr>
          <w:b/>
          <w:color w:val="0E2B5C"/>
          <w:sz w:val="19"/>
        </w:rPr>
        <w:t xml:space="preserve">Integração Direta com Relógio e Cartão de Ponto (Portaria 671/MTE): </w:t>
      </w:r>
      <w:r>
        <w:rPr>
          <w:color w:val="282C34"/>
          <w:sz w:val="19"/>
        </w:rPr>
        <w:t>Conexão a coletores homologados e importação de arquivos AFD/AFDT, com tratamento ágil de espelho de ponto, atestados médicos e apontamentos de ausências.</w:t>
      </w:r>
    </w:p>
    <w:p>
      <w:pPr>
        <w:pStyle w:val="ListBullet"/>
        <w:spacing w:before="0" w:after="60" w:line="276" w:lineRule="auto"/>
      </w:pPr>
      <w:r>
        <w:rPr>
          <w:b/>
          <w:color w:val="0E2B5C"/>
          <w:sz w:val="19"/>
        </w:rPr>
        <w:t xml:space="preserve">Folha de Pagamento Automatizada e Integrada ao Protheus: </w:t>
      </w:r>
      <w:r>
        <w:rPr>
          <w:color w:val="282C34"/>
          <w:sz w:val="19"/>
        </w:rPr>
        <w:t>Geração de prévias detalhadas da folha, horas extras (50%, 100%, noturno), adicionais legais e conexão direta com as tabelas de acumuladores do Protheus (SRA/SRD).</w:t>
      </w:r>
    </w:p>
    <w:p>
      <w:pPr>
        <w:pStyle w:val="ListBullet"/>
        <w:spacing w:before="0" w:after="60" w:line="276" w:lineRule="auto"/>
      </w:pPr>
      <w:r>
        <w:rPr>
          <w:b/>
          <w:color w:val="0E2B5C"/>
          <w:sz w:val="19"/>
        </w:rPr>
        <w:t xml:space="preserve">Ponto de Equilíbrio Operacional, Fixo e Rateios por Setor: </w:t>
      </w:r>
      <w:r>
        <w:rPr>
          <w:color w:val="282C34"/>
          <w:sz w:val="19"/>
        </w:rPr>
        <w:t>Cálculo matemático da tarifa hora-homem real (salário base + encargos sociais patronais + provisões de 13º/férias + benefícios + rateio de despesas de apoio corporativo).</w:t>
      </w:r>
    </w:p>
    <w:p>
      <w:pPr>
        <w:pStyle w:val="ListBullet"/>
        <w:spacing w:before="0" w:after="60" w:line="276" w:lineRule="auto"/>
      </w:pPr>
      <w:r>
        <w:rPr>
          <w:b/>
          <w:color w:val="0E2B5C"/>
          <w:sz w:val="19"/>
        </w:rPr>
        <w:t xml:space="preserve">Gestão de Banco de Horas e Acordos Extraordinários: </w:t>
      </w:r>
      <w:r>
        <w:rPr>
          <w:color w:val="282C34"/>
          <w:sz w:val="19"/>
        </w:rPr>
        <w:t>Controle de saldos de compensação de jornada com alertas de proximidade do vencimento legal e módulo seguro para gestão de bonificações extraordinárias.</w:t>
      </w:r>
    </w:p>
    <w:p>
      <w:pPr>
        <w:keepNext/>
        <w:spacing w:before="220" w:after="60"/>
      </w:pPr>
      <w:r>
        <w:rPr>
          <w:b/>
          <w:color w:val="D9531E"/>
          <w:sz w:val="22"/>
        </w:rPr>
        <w:t>3.4. Módulo SST (Saúde e Segurança do Trabalho)</w:t>
      </w:r>
    </w:p>
    <w:p>
      <w:pPr>
        <w:spacing w:before="0" w:after="100" w:line="276" w:lineRule="auto"/>
      </w:pPr>
      <w:r>
        <w:rPr>
          <w:color w:val="282C34"/>
          <w:sz w:val="19"/>
        </w:rPr>
        <w:t>Gestão 100% digital de EPIs, controle rigoroso de ASOs e automação de dossiês documentais para liberação de equipes externas.</w:t>
      </w:r>
    </w:p>
    <w:p>
      <w:pPr>
        <w:pStyle w:val="ListBullet"/>
        <w:spacing w:before="0" w:after="60" w:line="276" w:lineRule="auto"/>
      </w:pPr>
      <w:r>
        <w:rPr>
          <w:b/>
          <w:color w:val="0E2B5C"/>
          <w:sz w:val="19"/>
        </w:rPr>
        <w:t xml:space="preserve">Gestão Digital de EPIs (NR-06): </w:t>
      </w:r>
      <w:r>
        <w:rPr>
          <w:color w:val="282C34"/>
          <w:sz w:val="19"/>
        </w:rPr>
        <w:t>Ficha eletrônica de entrega de EPI com assinatura digital/biométrica, consulta automática de validade de C.A. no MTE e alerta de tempo de reposição preventiva.</w:t>
      </w:r>
    </w:p>
    <w:p>
      <w:pPr>
        <w:pStyle w:val="ListBullet"/>
        <w:spacing w:before="0" w:after="60" w:line="276" w:lineRule="auto"/>
      </w:pPr>
      <w:r>
        <w:rPr>
          <w:b/>
          <w:color w:val="0E2B5C"/>
          <w:sz w:val="19"/>
        </w:rPr>
        <w:t xml:space="preserve">Controle de Validade de Materiais de Reposição e Inspeções Críticas: </w:t>
      </w:r>
      <w:r>
        <w:rPr>
          <w:color w:val="282C34"/>
          <w:sz w:val="19"/>
        </w:rPr>
        <w:t>Cronograma de recargas e testes hidrostáticos de extintores, mangueiras de hidrante, cinturões paraquedista e trava-quedas (NR-35).</w:t>
      </w:r>
    </w:p>
    <w:p>
      <w:pPr>
        <w:pStyle w:val="ListBullet"/>
        <w:spacing w:before="0" w:after="60" w:line="276" w:lineRule="auto"/>
      </w:pPr>
      <w:r>
        <w:rPr>
          <w:b/>
          <w:color w:val="0E2B5C"/>
          <w:sz w:val="19"/>
        </w:rPr>
        <w:t xml:space="preserve">Gestão e Matriz de Documentação Ocupacional (ASO, Treinamentos, NRs): </w:t>
      </w:r>
      <w:r>
        <w:rPr>
          <w:color w:val="282C34"/>
          <w:sz w:val="19"/>
        </w:rPr>
        <w:t>Prontuário unificado com controle de validade de ASOs e matriz de capacitações obrigatórias (NR-10, NR-11, NR-12, NR-33, NR-35).</w:t>
      </w:r>
    </w:p>
    <w:p>
      <w:pPr>
        <w:pStyle w:val="ListBullet"/>
        <w:spacing w:before="0" w:after="60" w:line="276" w:lineRule="auto"/>
      </w:pPr>
      <w:r>
        <w:rPr>
          <w:b/>
          <w:color w:val="0E2B5C"/>
          <w:sz w:val="19"/>
        </w:rPr>
        <w:t xml:space="preserve">Gerador Automático de Dossiês para Serviços Externos: </w:t>
      </w:r>
      <w:r>
        <w:rPr>
          <w:color w:val="282C34"/>
          <w:sz w:val="19"/>
        </w:rPr>
        <w:t>Compilação instantânea em 1 clique do pacote completo em PDF (ASO + Ficha de EPI + Certificados de NR + Registro) para liberação na portaria de clientes.</w:t>
      </w:r>
    </w:p>
    <w:p>
      <w:pPr>
        <w:keepNext/>
        <w:spacing w:before="220" w:after="60"/>
      </w:pPr>
      <w:r>
        <w:rPr>
          <w:b/>
          <w:color w:val="D9531E"/>
          <w:sz w:val="22"/>
        </w:rPr>
        <w:t>3.5. Módulo RDO (Relatório Diário de Obra &amp; Serviços Externos)</w:t>
      </w:r>
    </w:p>
    <w:p>
      <w:pPr>
        <w:spacing w:before="0" w:after="100" w:line="276" w:lineRule="auto"/>
      </w:pPr>
      <w:r>
        <w:rPr>
          <w:color w:val="282C34"/>
          <w:sz w:val="19"/>
        </w:rPr>
        <w:t>Acompanhamento de avanço físico de montagens externas, controle de clima e diário fotográfico georreferenciado.</w:t>
      </w:r>
    </w:p>
    <w:p>
      <w:pPr>
        <w:pStyle w:val="ListBullet"/>
        <w:spacing w:before="0" w:after="60" w:line="276" w:lineRule="auto"/>
      </w:pPr>
      <w:r>
        <w:rPr>
          <w:b/>
          <w:color w:val="0E2B5C"/>
          <w:sz w:val="19"/>
        </w:rPr>
        <w:t xml:space="preserve">Evolução Diária de Processos e Avanço Físico de Montagem: </w:t>
      </w:r>
      <w:r>
        <w:rPr>
          <w:color w:val="282C34"/>
          <w:sz w:val="19"/>
        </w:rPr>
        <w:t>Apontamento do percentual de execução física das montagens em campo confrontado com o cronograma mestre de engenharia.</w:t>
      </w:r>
    </w:p>
    <w:p>
      <w:pPr>
        <w:pStyle w:val="ListBullet"/>
        <w:spacing w:before="0" w:after="60" w:line="276" w:lineRule="auto"/>
      </w:pPr>
      <w:r>
        <w:rPr>
          <w:b/>
          <w:color w:val="0E2B5C"/>
          <w:sz w:val="19"/>
        </w:rPr>
        <w:t xml:space="preserve">Apontamento de Condições Climáticas, Efetivo e Interferências: </w:t>
      </w:r>
      <w:r>
        <w:rPr>
          <w:color w:val="282C34"/>
          <w:sz w:val="19"/>
        </w:rPr>
        <w:t>Registro diário de efetivo em campo, equipamentos mobilizados, impacto de chuvas/ventos e livro de ocorrências/interferências do cliente.</w:t>
      </w:r>
    </w:p>
    <w:p>
      <w:pPr>
        <w:pStyle w:val="ListBullet"/>
        <w:spacing w:before="0" w:after="60" w:line="276" w:lineRule="auto"/>
      </w:pPr>
      <w:r>
        <w:rPr>
          <w:b/>
          <w:color w:val="0E2B5C"/>
          <w:sz w:val="19"/>
        </w:rPr>
        <w:t xml:space="preserve">Diário Fotográfico com Georreferenciamento e Emissão de Medição: </w:t>
      </w:r>
      <w:r>
        <w:rPr>
          <w:color w:val="282C34"/>
          <w:sz w:val="19"/>
        </w:rPr>
        <w:t>Registro fotográfico direto do celular com data, hora e GPS marcados, gerando relatório executivo de medição com assinatura digital.</w:t>
      </w:r>
    </w:p>
    <w:p>
      <w:pPr>
        <w:keepNext/>
        <w:spacing w:before="220" w:after="60"/>
      </w:pPr>
      <w:r>
        <w:rPr>
          <w:b/>
          <w:color w:val="D9531E"/>
          <w:sz w:val="22"/>
        </w:rPr>
        <w:t>3.6. Módulo de Frotas &amp; Veículos</w:t>
      </w:r>
    </w:p>
    <w:p>
      <w:pPr>
        <w:spacing w:before="0" w:after="100" w:line="276" w:lineRule="auto"/>
      </w:pPr>
      <w:r>
        <w:rPr>
          <w:color w:val="282C34"/>
          <w:sz w:val="19"/>
        </w:rPr>
        <w:t>Controle de abastecimento, média de consumo (km/l), manutenções preventivas e checklist de saída com condutores.</w:t>
      </w:r>
    </w:p>
    <w:p>
      <w:pPr>
        <w:pStyle w:val="ListBullet"/>
        <w:spacing w:before="0" w:after="60" w:line="276" w:lineRule="auto"/>
      </w:pPr>
      <w:r>
        <w:rPr>
          <w:b/>
          <w:color w:val="0E2B5C"/>
          <w:sz w:val="19"/>
        </w:rPr>
        <w:t xml:space="preserve">Controle de Abastecimento e Eficiência de Combustível: </w:t>
      </w:r>
      <w:r>
        <w:rPr>
          <w:color w:val="282C34"/>
          <w:sz w:val="19"/>
        </w:rPr>
        <w:t>Lançamento de cupons de abastecimento, odômetro, litragem e cálculo automático da média de consumo (km/l) com alerta de desvios anômalos.</w:t>
      </w:r>
    </w:p>
    <w:p>
      <w:pPr>
        <w:pStyle w:val="ListBullet"/>
        <w:spacing w:before="0" w:after="60" w:line="276" w:lineRule="auto"/>
      </w:pPr>
      <w:r>
        <w:rPr>
          <w:b/>
          <w:color w:val="0E2B5C"/>
          <w:sz w:val="19"/>
        </w:rPr>
        <w:t xml:space="preserve">Manutenção Preventiva, Corretiva e Gestão de Pneus: </w:t>
      </w:r>
      <w:r>
        <w:rPr>
          <w:color w:val="282C34"/>
          <w:sz w:val="19"/>
        </w:rPr>
        <w:t>Plano de revisões programadas por quilometragem ou tempo (óleo, filtros, freios, suspensão, tacógrafo) e histórico de ordens de serviço de oficinas.</w:t>
      </w:r>
    </w:p>
    <w:p>
      <w:pPr>
        <w:pStyle w:val="ListBullet"/>
        <w:spacing w:before="0" w:after="60" w:line="276" w:lineRule="auto"/>
      </w:pPr>
      <w:r>
        <w:rPr>
          <w:b/>
          <w:color w:val="0E2B5C"/>
          <w:sz w:val="19"/>
        </w:rPr>
        <w:t xml:space="preserve">Controle de Deslocamentos, Checklist de Saída e Condutores: </w:t>
      </w:r>
      <w:r>
        <w:rPr>
          <w:color w:val="282C34"/>
          <w:sz w:val="19"/>
        </w:rPr>
        <w:t>Checklist digital de inspeção pré-viagem (faróis, estepe, lataria), controle de motorista responsável e monitoramento da validade da CNH.</w:t>
      </w:r>
    </w:p>
    <w:p>
      <w:pPr>
        <w:keepNext/>
        <w:spacing w:before="320" w:after="100"/>
      </w:pPr>
      <w:r>
        <w:rPr>
          <w:b/>
          <w:color w:val="0E2B5C"/>
          <w:sz w:val="26"/>
        </w:rPr>
        <w:t>4. CONDIÇÕES COMERCIAIS E INVESTIMENTO</w:t>
      </w:r>
    </w:p>
    <w:p>
      <w:pPr>
        <w:spacing w:before="0" w:after="100" w:line="276" w:lineRule="auto"/>
      </w:pPr>
      <w:r>
        <w:rPr>
          <w:color w:val="282C34"/>
          <w:sz w:val="19"/>
        </w:rPr>
        <w:t>A proposta contempla modelo de parcelamento para a fase de implantação e taxa mensal perpétua de sustentação:</w:t>
      </w:r>
    </w:p>
    <w:p>
      <w:pPr>
        <w:keepNext/>
        <w:spacing w:before="220" w:after="60"/>
      </w:pPr>
      <w:r>
        <w:rPr>
          <w:b/>
          <w:color w:val="D9531E"/>
          <w:sz w:val="22"/>
        </w:rPr>
        <w:t>4.1. Cronograma de Investimento de Implantação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fill="0E2B5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PARCELA</w:t>
            </w:r>
          </w:p>
        </w:tc>
        <w:tc>
          <w:tcPr>
            <w:tcW w:type="dxa" w:w="4896"/>
            <w:shd w:fill="0E2B5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VENCIMENTO E CONDIÇÃO</w:t>
            </w:r>
          </w:p>
        </w:tc>
        <w:tc>
          <w:tcPr>
            <w:tcW w:type="dxa" w:w="2304"/>
            <w:shd w:fill="0E2B5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VALOR (R$)</w:t>
            </w:r>
          </w:p>
        </w:tc>
      </w:tr>
      <w:tr>
        <w:tc>
          <w:tcPr>
            <w:tcW w:type="dxa" w:w="259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E2B5C"/>
                <w:sz w:val="18"/>
              </w:rPr>
              <w:t>1ª Parcela (Entrada)</w:t>
            </w:r>
          </w:p>
        </w:tc>
        <w:tc>
          <w:tcPr>
            <w:tcW w:type="dxa" w:w="489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 xml:space="preserve">À vista na assinatura formal da proposta </w:t>
            </w:r>
          </w:p>
        </w:tc>
        <w:tc>
          <w:tcPr>
            <w:tcW w:type="dxa" w:w="230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R$ 8.000,00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E2B5C"/>
                <w:sz w:val="18"/>
              </w:rPr>
              <w:t>2ª Parcela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10 de Novembro de 2026 (10/11/2026)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R$ 8.000,00</w:t>
            </w:r>
          </w:p>
        </w:tc>
      </w:tr>
      <w:tr>
        <w:tc>
          <w:tcPr>
            <w:tcW w:type="dxa" w:w="259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E2B5C"/>
                <w:sz w:val="18"/>
              </w:rPr>
              <w:t>3ª Parcela</w:t>
            </w:r>
          </w:p>
        </w:tc>
        <w:tc>
          <w:tcPr>
            <w:tcW w:type="dxa" w:w="489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10 de Dezembro de 2026 (10/12/2026)</w:t>
            </w:r>
          </w:p>
        </w:tc>
        <w:tc>
          <w:tcPr>
            <w:tcW w:type="dxa" w:w="230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8"/>
              </w:rPr>
              <w:t>R$ 8.000,00</w:t>
            </w:r>
          </w:p>
        </w:tc>
      </w:tr>
      <w:tr>
        <w:tc>
          <w:tcPr>
            <w:tcW w:type="dxa" w:w="2592"/>
            <w:shd w:fill="EBF2FA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r>
              <w:rPr>
                <w:b/>
                <w:color w:val="0E2B5C"/>
                <w:sz w:val="19"/>
              </w:rPr>
              <w:t>TOTAL DA IMPLANTAÇÃO</w:t>
            </w:r>
          </w:p>
        </w:tc>
        <w:tc>
          <w:tcPr>
            <w:tcW w:type="dxa" w:w="4896"/>
            <w:shd w:fill="EBF2FA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r>
              <w:rPr>
                <w:b/>
                <w:color w:val="0E2B5C"/>
                <w:sz w:val="19"/>
              </w:rPr>
              <w:t>Totalização das 3 parcelas de implantação e integração</w:t>
            </w:r>
          </w:p>
        </w:tc>
        <w:tc>
          <w:tcPr>
            <w:tcW w:type="dxa" w:w="2304"/>
            <w:shd w:fill="EBF2FA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0E2B5C"/>
                <w:sz w:val="19"/>
              </w:rPr>
              <w:t>R$ 24.000,00</w:t>
            </w:r>
          </w:p>
        </w:tc>
      </w:tr>
    </w:tbl>
    <w:p>
      <w:pPr>
        <w:keepNext/>
        <w:spacing w:before="220" w:after="60"/>
      </w:pPr>
      <w:r>
        <w:rPr>
          <w:b/>
          <w:color w:val="D9531E"/>
          <w:sz w:val="22"/>
        </w:rPr>
        <w:t>4.2. Mensalidade Perpétua de Suporte, Manutenção e Atualizações</w:t>
      </w:r>
    </w:p>
    <w:p>
      <w:pPr>
        <w:pStyle w:val="ListBullet"/>
        <w:spacing w:before="0" w:after="60" w:line="276" w:lineRule="auto"/>
      </w:pPr>
      <w:r>
        <w:rPr>
          <w:b/>
          <w:color w:val="0E2B5C"/>
          <w:sz w:val="19"/>
        </w:rPr>
        <w:t xml:space="preserve">Primeiro Ano (10/02/2027 a 10/02/2028): </w:t>
      </w:r>
      <w:r>
        <w:rPr>
          <w:color w:val="282C34"/>
          <w:sz w:val="19"/>
        </w:rPr>
        <w:t>0,5 (meio) Salário Mínimo Nacional vigente por mês — Primeiro vencimento em 10/01/2027.</w:t>
      </w:r>
    </w:p>
    <w:p>
      <w:pPr>
        <w:pStyle w:val="ListBullet"/>
        <w:spacing w:before="0" w:after="60" w:line="276" w:lineRule="auto"/>
      </w:pPr>
      <w:r>
        <w:rPr>
          <w:b/>
          <w:color w:val="0E2B5C"/>
          <w:sz w:val="19"/>
        </w:rPr>
        <w:t xml:space="preserve">A partir do Segundo Ano (pós 10/02/2028): </w:t>
      </w:r>
      <w:r>
        <w:rPr>
          <w:color w:val="282C34"/>
          <w:sz w:val="19"/>
        </w:rPr>
        <w:t>2 (dois  Salários Mínimos Nacionais vigentes por mês — Reajuste anual atrelado automaticamente à variação oficial do Salário Mínimo Nacional, sem indexação por índices inflacionários voláteis.</w:t>
      </w:r>
    </w:p>
    <w:p>
      <w:pPr>
        <w:pStyle w:val="ListBullet"/>
        <w:spacing w:before="0" w:after="60" w:line="276" w:lineRule="auto"/>
      </w:pPr>
      <w:r>
        <w:rPr>
          <w:b/>
          <w:color w:val="0E2B5C"/>
          <w:sz w:val="19"/>
        </w:rPr>
        <w:t xml:space="preserve">Licenciamento Empresarial: </w:t>
      </w:r>
      <w:r>
        <w:rPr>
          <w:color w:val="282C34"/>
          <w:sz w:val="19"/>
        </w:rPr>
        <w:t>Sem limite de usuários, estações ou cobrança por assento (seat). Todos os colaboradores autorizados poderão acessar com base em perfis de permissão.</w:t>
      </w:r>
    </w:p>
    <w:p>
      <w:pPr>
        <w:keepNext/>
        <w:spacing w:before="320" w:after="100"/>
      </w:pPr>
      <w:r>
        <w:rPr>
          <w:b/>
          <w:color w:val="0E2B5C"/>
          <w:sz w:val="26"/>
        </w:rPr>
        <w:t>5. OBSERVAÇÕES GERAIS E DISPOSIÇÕES FINAIS</w:t>
      </w:r>
    </w:p>
    <w:p>
      <w:pPr>
        <w:pStyle w:val="ListBullet"/>
        <w:spacing w:before="0" w:after="60" w:line="276" w:lineRule="auto"/>
      </w:pPr>
      <w:r>
        <w:rPr>
          <w:b/>
          <w:color w:val="0E2B5C"/>
          <w:sz w:val="19"/>
        </w:rPr>
        <w:t xml:space="preserve">1. Ambiente Operacional: </w:t>
      </w:r>
      <w:r>
        <w:rPr>
          <w:color w:val="282C34"/>
          <w:sz w:val="19"/>
        </w:rPr>
        <w:t>Todas as rotinas e tabelas desenvolvidas operam diretamente no servidor local SINCO (192.168.1.77), garantindo alta disponibilidade, velocidade e total soberania dos dados da Metalfisa.</w:t>
      </w:r>
    </w:p>
    <w:p>
      <w:pPr>
        <w:pStyle w:val="ListBullet"/>
        <w:spacing w:before="0" w:after="60" w:line="276" w:lineRule="auto"/>
      </w:pPr>
      <w:r>
        <w:rPr>
          <w:b/>
          <w:color w:val="0E2B5C"/>
          <w:sz w:val="19"/>
        </w:rPr>
        <w:t xml:space="preserve">2. Homologação Assistida: </w:t>
      </w:r>
      <w:r>
        <w:rPr>
          <w:color w:val="282C34"/>
          <w:sz w:val="19"/>
        </w:rPr>
        <w:t>As entregas de cada módulo serão precedidas por validação conjunta em base de testes do Protheus, mitigando qualquer impacto às rotinas produtivas correntes.</w:t>
      </w:r>
    </w:p>
    <w:p>
      <w:pPr>
        <w:pStyle w:val="ListBullet"/>
        <w:spacing w:before="0" w:after="60" w:line="276" w:lineRule="auto"/>
      </w:pPr>
      <w:r>
        <w:rPr>
          <w:b/>
          <w:color w:val="0E2B5C"/>
          <w:sz w:val="19"/>
        </w:rPr>
        <w:t xml:space="preserve">3. Suporte Contínuo e Garantia: </w:t>
      </w:r>
      <w:r>
        <w:rPr>
          <w:color w:val="282C34"/>
          <w:sz w:val="19"/>
        </w:rPr>
        <w:t>A sustentação técnica mensal contempla atendimento prioritário, ajustes adaptativos, evolução do ecossistema e conformidade com novas portarias e legislações vigentes.</w:t>
      </w:r>
    </w:p>
    <w:p>
      <w:pPr>
        <w:pStyle w:val="ListBullet"/>
        <w:spacing w:before="0" w:after="60" w:line="276" w:lineRule="auto"/>
      </w:pPr>
      <w:r>
        <w:rPr>
          <w:b/>
          <w:color w:val="0E2B5C"/>
          <w:sz w:val="19"/>
        </w:rPr>
        <w:t xml:space="preserve">4. Propriedade Intelectual e Licenciamento: </w:t>
      </w:r>
      <w:r>
        <w:rPr>
          <w:color w:val="282C34"/>
          <w:sz w:val="19"/>
        </w:rPr>
        <w:t>O código-fonte customizado e as parametrizações implementadas são de uso irrestrito da Metalfisa, sem cobrança de custos adicionais por novas estações de trabalho ou volume de usuários.</w:t>
      </w:r>
    </w:p>
    <w:p>
      <w:pPr>
        <w:spacing w:before="40" w:after="80" w:line="276" w:lineRule="auto"/>
      </w:pPr>
      <w:r>
        <w:rPr>
          <w:b/>
          <w:color w:val="0E2B5C"/>
          <w:sz w:val="19"/>
        </w:rPr>
        <w:t xml:space="preserve">5. </w:t>
      </w:r>
      <w:r>
        <w:rPr>
          <w:color w:val="282C34"/>
          <w:sz w:val="19"/>
        </w:rPr>
        <w:t>API's de integração com o Protheus não fazem parte do escopo da Lynx.</w:t>
      </w:r>
    </w:p>
    <w:p>
      <w:pPr>
        <w:keepNext/>
        <w:spacing w:before="320" w:after="100"/>
      </w:pPr>
      <w:r>
        <w:rPr>
          <w:b/>
          <w:color w:val="0E2B5C"/>
          <w:sz w:val="26"/>
        </w:rPr>
        <w:t>6. DE ACORDO DAS PARTES</w:t>
      </w:r>
    </w:p>
    <w:p>
      <w:pPr>
        <w:spacing w:before="0" w:after="100" w:line="276" w:lineRule="auto"/>
      </w:pPr>
      <w:r>
        <w:rPr>
          <w:color w:val="282C34"/>
          <w:sz w:val="19"/>
        </w:rPr>
        <w:t>Estando as partes devidamente alinhadas quanto ao escopo técnico, prazos, integrações, condições comerciais e disposições gerais, firmam o presente instrumento:</w:t>
      </w:r>
    </w:p>
    <w:p>
      <w:pPr>
        <w:spacing w:before="7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7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646E7D"/>
              </w:rPr>
              <w:t>_________________________________________</w:t>
              <w:br/>
            </w:r>
            <w:r>
              <w:rPr>
                <w:b/>
                <w:color w:val="0E2B5C"/>
              </w:rPr>
              <w:t>LYNX EMS SISTEMA &amp; CONSULTORIA</w:t>
              <w:br/>
            </w:r>
            <w:r>
              <w:rPr>
                <w:sz w:val="17"/>
              </w:rPr>
              <w:t>Gestão de Tecnologia / Fornecedor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646E7D"/>
              </w:rPr>
              <w:t>_________________________________________</w:t>
              <w:br/>
            </w:r>
            <w:r>
              <w:rPr>
                <w:b/>
                <w:color w:val="0E2B5C"/>
              </w:rPr>
              <w:t>METALFISA INDÚSTRIA METALÚRGICA LTDA.</w:t>
              <w:br/>
            </w:r>
            <w:r>
              <w:rPr>
                <w:sz w:val="17"/>
              </w:rPr>
              <w:t>Diretoria Executiva / Contratante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