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8.png" ContentType="image/jpeg"/>
  <Override PartName="/word/media/image29.png" ContentType="image/jpeg"/>
  <Override PartName="/word/media/image3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rFonts w:ascii="Calibri" w:hAnsi="Calibri"/>
          <w:b/>
          <w:color w:val="1E5285"/>
          <w:sz w:val="56"/>
        </w:rPr>
        <w:t>MANUAL DE USUARIO</w:t>
      </w:r>
    </w:p>
    <w:p>
      <w:pPr>
        <w:jc w:val="center"/>
      </w:pPr>
      <w:r>
        <w:rPr>
          <w:rFonts w:ascii="Calibri" w:hAnsi="Calibri"/>
          <w:b w:val="0"/>
          <w:color w:val="475569"/>
          <w:sz w:val="30"/>
        </w:rPr>
        <w:t>ERP/CRM para la gestión integral de Óptica Paracao</w:t>
      </w:r>
    </w:p>
    <w:p>
      <w:pPr>
        <w:spacing w:after="600"/>
      </w:pPr>
    </w:p>
    <w:p>
      <w:pPr>
        <w:jc w:val="center"/>
      </w:pPr>
      <w:r>
        <w:rPr>
          <w:rFonts w:ascii="Calibri" w:hAnsi="Calibri"/>
          <w:sz w:val="22"/>
        </w:rPr>
        <w:t>Guía operativa para ventas, atención al cliente, pedidos ópticos, inventario, proveedores y finanzas.</w:t>
      </w:r>
    </w:p>
    <w:p>
      <w:pPr>
        <w:spacing w:after="2100"/>
      </w:pPr>
    </w:p>
    <w:p>
      <w:pPr>
        <w:jc w:val="center"/>
      </w:pPr>
      <w:r>
        <w:rPr>
          <w:rFonts w:ascii="Calibri" w:hAnsi="Calibri"/>
          <w:b w:val="0"/>
          <w:color w:val="64748B"/>
          <w:sz w:val="19"/>
        </w:rPr>
        <w:t>Versión del sistema revisada: agosto de 2026</w:t>
      </w:r>
    </w:p>
    <w:p>
      <w:r>
        <w:br w:type="page"/>
      </w:r>
    </w:p>
    <w:p>
      <w:pPr>
        <w:pStyle w:val="Heading1"/>
      </w:pPr>
      <w:r>
        <w:t>Cómo usar esta guía</w:t>
      </w:r>
    </w:p>
    <w:p>
      <w:r>
        <w:rPr>
          <w:rFonts w:ascii="Calibri" w:hAnsi="Calibri"/>
        </w:rPr>
        <w:t>Este manual describe el uso cotidiano del sistema. Los nombres de campos, botones y pestañas pueden variar ligeramente según los permisos asignados a cada usuario.</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Recomendación: </w:t>
            </w:r>
            <w:r>
              <w:rPr>
                <w:rFonts w:ascii="Calibri" w:hAnsi="Calibri"/>
              </w:rPr>
              <w:t>antes de operar, confirme que está en la sucursal correcta y que la caja seleccionada es la que corresponde a la operación.</w:t>
            </w:r>
          </w:p>
        </w:tc>
      </w:tr>
    </w:tbl>
    <w:p>
      <w:pPr>
        <w:spacing w:after="20"/>
      </w:pPr>
    </w:p>
    <w:p>
      <w:pPr>
        <w:pStyle w:val="Heading2"/>
      </w:pPr>
      <w:r>
        <w:t>Índice</w:t>
      </w:r>
    </w:p>
    <w:p>
      <w:pPr>
        <w:pStyle w:val="ListBullet"/>
        <w:spacing w:after="60"/>
      </w:pPr>
      <w:r>
        <w:rPr>
          <w:rFonts w:ascii="Calibri" w:hAnsi="Calibri"/>
        </w:rPr>
        <w:t>1. Ingreso y navegación general</w:t>
      </w:r>
    </w:p>
    <w:p>
      <w:pPr>
        <w:pStyle w:val="ListBullet"/>
        <w:spacing w:after="60"/>
      </w:pPr>
      <w:r>
        <w:rPr>
          <w:rFonts w:ascii="Calibri" w:hAnsi="Calibri"/>
        </w:rPr>
        <w:t>2. Panel de control</w:t>
      </w:r>
    </w:p>
    <w:p>
      <w:pPr>
        <w:pStyle w:val="ListBullet"/>
        <w:spacing w:after="60"/>
      </w:pPr>
      <w:r>
        <w:rPr>
          <w:rFonts w:ascii="Calibri" w:hAnsi="Calibri"/>
        </w:rPr>
        <w:t>3. Clientes y cuenta corriente</w:t>
      </w:r>
    </w:p>
    <w:p>
      <w:pPr>
        <w:pStyle w:val="ListBullet"/>
        <w:spacing w:after="60"/>
      </w:pPr>
      <w:r>
        <w:rPr>
          <w:rFonts w:ascii="Calibri" w:hAnsi="Calibri"/>
        </w:rPr>
        <w:t>4. Ventas, pedidos y recetas ópticas</w:t>
      </w:r>
    </w:p>
    <w:p>
      <w:pPr>
        <w:pStyle w:val="ListBullet"/>
        <w:spacing w:after="60"/>
      </w:pPr>
      <w:r>
        <w:rPr>
          <w:rFonts w:ascii="Calibri" w:hAnsi="Calibri"/>
        </w:rPr>
        <w:t>5. Proveedores, compras y facturas</w:t>
      </w:r>
    </w:p>
    <w:p>
      <w:pPr>
        <w:pStyle w:val="ListBullet"/>
        <w:spacing w:after="60"/>
      </w:pPr>
      <w:r>
        <w:rPr>
          <w:rFonts w:ascii="Calibri" w:hAnsi="Calibri"/>
        </w:rPr>
        <w:t>6. Inventario y movimientos de stock</w:t>
      </w:r>
    </w:p>
    <w:p>
      <w:pPr>
        <w:pStyle w:val="ListBullet"/>
        <w:spacing w:after="60"/>
      </w:pPr>
      <w:r>
        <w:rPr>
          <w:rFonts w:ascii="Calibri" w:hAnsi="Calibri"/>
        </w:rPr>
        <w:t>7. Caja, finanzas y conciliación</w:t>
      </w:r>
    </w:p>
    <w:p>
      <w:pPr>
        <w:pStyle w:val="ListBullet"/>
        <w:spacing w:after="60"/>
      </w:pPr>
      <w:r>
        <w:rPr>
          <w:rFonts w:ascii="Calibri" w:hAnsi="Calibri"/>
        </w:rPr>
        <w:t>8. Reportes, marketing, configuración y soporte</w:t>
      </w:r>
    </w:p>
    <w:p>
      <w:pPr>
        <w:pStyle w:val="ListBullet"/>
        <w:spacing w:after="60"/>
      </w:pPr>
      <w:r>
        <w:rPr>
          <w:rFonts w:ascii="Calibri" w:hAnsi="Calibri"/>
        </w:rPr>
        <w:t>9. Nuevas disposiciones: obras sociales y cajas conciliables</w:t>
      </w:r>
    </w:p>
    <w:p>
      <w:pPr>
        <w:pStyle w:val="Heading1"/>
      </w:pPr>
      <w:r>
        <w:t>1. Ingreso y navegación general</w:t>
      </w:r>
    </w:p>
    <w:p>
      <w:r>
        <w:rPr>
          <w:rFonts w:ascii="Calibri" w:hAnsi="Calibri"/>
        </w:rPr>
        <w:t>Óptica Paracao es una aplicación web y no requiere instalar programas, Node.js ni dependencias. Abra un navegador actualizado e ingrese directamente a https://opticagestionparacao.lnx.com.ar, o utilice el enlace web entregado por el administrador. Para acceder necesita conexión a Internet y sus credenciales. Luego utilice el menú lateral para acceder a cada módulo.</w:t>
      </w:r>
    </w:p>
    <w:p>
      <w:pPr>
        <w:keepNext/>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01-acceso.png"/>
                    <pic:cNvPicPr/>
                  </pic:nvPicPr>
                  <pic:blipFill>
                    <a:blip r:embed="rId11"/>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acceso, capturada sin credenciales visibles.</w:t>
      </w:r>
    </w:p>
    <w:p>
      <w:pPr>
        <w:pStyle w:val="Heading2"/>
      </w:pPr>
      <w:r>
        <w:t>Reglas de operación</w:t>
      </w:r>
    </w:p>
    <w:p>
      <w:pPr>
        <w:pStyle w:val="ListBullet"/>
        <w:spacing w:after="60"/>
      </w:pPr>
      <w:r>
        <w:rPr>
          <w:rFonts w:ascii="Calibri" w:hAnsi="Calibri"/>
        </w:rPr>
        <w:t>Verifique el cliente antes de crear una venta o pedido.</w:t>
      </w:r>
    </w:p>
    <w:p>
      <w:pPr>
        <w:pStyle w:val="ListBullet"/>
        <w:spacing w:after="60"/>
      </w:pPr>
      <w:r>
        <w:rPr>
          <w:rFonts w:ascii="Calibri" w:hAnsi="Calibri"/>
        </w:rPr>
        <w:t>Registre cada cobro en la caja o cuenta de destino correcta.</w:t>
      </w:r>
    </w:p>
    <w:p>
      <w:pPr>
        <w:pStyle w:val="ListBullet"/>
        <w:spacing w:after="60"/>
      </w:pPr>
      <w:r>
        <w:rPr>
          <w:rFonts w:ascii="Calibri" w:hAnsi="Calibri"/>
        </w:rPr>
        <w:t>No complete un pedido hasta confirmar la entrega y el saldo.</w:t>
      </w:r>
    </w:p>
    <w:p>
      <w:pPr>
        <w:pStyle w:val="ListBullet"/>
        <w:spacing w:after="60"/>
      </w:pPr>
      <w:r>
        <w:rPr>
          <w:rFonts w:ascii="Calibri" w:hAnsi="Calibri"/>
        </w:rPr>
        <w:t>Registre ingresos y egresos de stock para mantener las existencias actualizadas.</w:t>
      </w:r>
    </w:p>
    <w:p>
      <w:pPr>
        <w:pStyle w:val="Heading1"/>
      </w:pPr>
      <w:r>
        <w:t>2. Panel de control</w:t>
      </w:r>
    </w:p>
    <w:p>
      <w:r>
        <w:rPr>
          <w:rFonts w:ascii="Calibri" w:hAnsi="Calibri"/>
        </w:rPr>
        <w:t>El Panel de Control resume la operación diaria. Allí se visualizan métricas de ventas, pedidos en taller, saldos pendientes y accesos rápidos.</w:t>
      </w:r>
    </w:p>
    <w:p>
      <w:pPr>
        <w:keepNext/>
        <w:jc w:val="center"/>
      </w:pPr>
      <w:r>
        <w:drawing>
          <wp:inline xmlns:a="http://schemas.openxmlformats.org/drawingml/2006/main" xmlns:pic="http://schemas.openxmlformats.org/drawingml/2006/picture">
            <wp:extent cx="6172200" cy="4114800"/>
            <wp:docPr id="2" name="Picture 2"/>
            <wp:cNvGraphicFramePr>
              <a:graphicFrameLocks noChangeAspect="1"/>
            </wp:cNvGraphicFramePr>
            <a:graphic>
              <a:graphicData uri="http://schemas.openxmlformats.org/drawingml/2006/picture">
                <pic:pic>
                  <pic:nvPicPr>
                    <pic:cNvPr id="0" name="02-inicio.png"/>
                    <pic:cNvPicPr/>
                  </pic:nvPicPr>
                  <pic:blipFill>
                    <a:blip r:embed="rId12"/>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Panel principal con información identificatoria sanitizada.</w:t>
      </w:r>
    </w:p>
    <w:p>
      <w:pPr>
        <w:pStyle w:val="Heading2"/>
      </w:pPr>
      <w:r>
        <w:t>Acciones frecuentes</w:t>
      </w:r>
    </w:p>
    <w:p>
      <w:pPr>
        <w:pStyle w:val="ListBullet"/>
        <w:spacing w:after="60"/>
      </w:pPr>
      <w:r>
        <w:rPr>
          <w:rFonts w:ascii="Calibri" w:hAnsi="Calibri"/>
        </w:rPr>
        <w:t>Abrir una venta rápida para productos sin receta.</w:t>
      </w:r>
    </w:p>
    <w:p>
      <w:pPr>
        <w:pStyle w:val="ListBullet"/>
        <w:spacing w:after="60"/>
      </w:pPr>
      <w:r>
        <w:rPr>
          <w:rFonts w:ascii="Calibri" w:hAnsi="Calibri"/>
        </w:rPr>
        <w:t>Crear un pedido óptico para una receta nueva.</w:t>
      </w:r>
    </w:p>
    <w:p>
      <w:pPr>
        <w:pStyle w:val="ListBullet"/>
        <w:spacing w:after="60"/>
      </w:pPr>
      <w:r>
        <w:rPr>
          <w:rFonts w:ascii="Calibri" w:hAnsi="Calibri"/>
        </w:rPr>
        <w:t>Ir a clientes para altas, cobros o consulta de historial.</w:t>
      </w:r>
    </w:p>
    <w:p>
      <w:pPr>
        <w:pStyle w:val="ListBullet"/>
        <w:spacing w:after="60"/>
      </w:pPr>
      <w:r>
        <w:rPr>
          <w:rFonts w:ascii="Calibri" w:hAnsi="Calibri"/>
        </w:rPr>
        <w:t>Acceder a caja para registrar movimientos o hacer el cierre.</w:t>
      </w:r>
    </w:p>
    <w:p>
      <w:pPr>
        <w:pStyle w:val="Heading1"/>
      </w:pPr>
      <w:r>
        <w:t>3. Clientes y cuenta corriente</w:t>
      </w:r>
    </w:p>
    <w:p>
      <w:r>
        <w:rPr>
          <w:rFonts w:ascii="Calibri" w:hAnsi="Calibri"/>
        </w:rPr>
        <w:t>El módulo Clientes reúne la ficha personal, cobertura médica, historial de pedidos y situación financiera de cada persona.</w:t>
      </w:r>
    </w:p>
    <w:p>
      <w:pPr>
        <w:keepNext/>
        <w:jc w:val="center"/>
      </w:pPr>
      <w:r>
        <w:drawing>
          <wp:inline xmlns:a="http://schemas.openxmlformats.org/drawingml/2006/main" xmlns:pic="http://schemas.openxmlformats.org/drawingml/2006/picture">
            <wp:extent cx="6172200" cy="4114800"/>
            <wp:docPr id="3" name="Picture 3"/>
            <wp:cNvGraphicFramePr>
              <a:graphicFrameLocks noChangeAspect="1"/>
            </wp:cNvGraphicFramePr>
            <a:graphic>
              <a:graphicData uri="http://schemas.openxmlformats.org/drawingml/2006/picture">
                <pic:pic>
                  <pic:nvPicPr>
                    <pic:cNvPr id="0" name="03-clientes.png"/>
                    <pic:cNvPicPr/>
                  </pic:nvPicPr>
                  <pic:blipFill>
                    <a:blip r:embed="rId13"/>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Gestión de Clientes; los registros fueron ocultados para proteger datos personales.</w:t>
      </w:r>
    </w:p>
    <w:p>
      <w:pPr>
        <w:pStyle w:val="Heading2"/>
      </w:pPr>
      <w:r>
        <w:t>Dar de alta o editar un cliente</w:t>
      </w:r>
    </w:p>
    <w:p>
      <w:pPr>
        <w:numPr>
          <w:ilvl w:val="0"/>
          <w:numId w:val="10"/>
        </w:numPr>
        <w:spacing w:after="80"/>
      </w:pPr>
      <w:r>
        <w:rPr>
          <w:rFonts w:ascii="Calibri" w:hAnsi="Calibri"/>
        </w:rPr>
        <w:t>Abra Clientes y use la búsqueda para comprobar si ya existe un registro por nombre, DNI o teléfono.</w:t>
      </w:r>
    </w:p>
    <w:p>
      <w:pPr>
        <w:numPr>
          <w:ilvl w:val="0"/>
          <w:numId w:val="10"/>
        </w:numPr>
        <w:spacing w:after="80"/>
      </w:pPr>
      <w:r>
        <w:rPr>
          <w:rFonts w:ascii="Calibri" w:hAnsi="Calibri"/>
        </w:rPr>
        <w:t>Seleccione Nuevo cliente o el icono de edición.</w:t>
      </w:r>
    </w:p>
    <w:p>
      <w:pPr>
        <w:numPr>
          <w:ilvl w:val="0"/>
          <w:numId w:val="10"/>
        </w:numPr>
        <w:spacing w:after="80"/>
      </w:pPr>
      <w:r>
        <w:rPr>
          <w:rFonts w:ascii="Calibri" w:hAnsi="Calibri"/>
        </w:rPr>
        <w:t>Complete los datos personales y de contacto. Registre obra social o cobertura cuando corresponda.</w:t>
      </w:r>
    </w:p>
    <w:p>
      <w:pPr>
        <w:numPr>
          <w:ilvl w:val="0"/>
          <w:numId w:val="10"/>
        </w:numPr>
        <w:spacing w:after="80"/>
      </w:pPr>
      <w:r>
        <w:rPr>
          <w:rFonts w:ascii="Calibri" w:hAnsi="Calibri"/>
        </w:rPr>
        <w:t>Guarde los cambios y confirme que la ficha aparezca en el listado.</w:t>
      </w:r>
    </w:p>
    <w:p>
      <w:pPr>
        <w:pStyle w:val="Heading2"/>
      </w:pPr>
      <w:r>
        <w:t>Consultar cuenta corriente y pedidos</w:t>
      </w:r>
    </w:p>
    <w:p>
      <w:pPr>
        <w:numPr>
          <w:ilvl w:val="0"/>
          <w:numId w:val="11"/>
        </w:numPr>
        <w:spacing w:after="80"/>
      </w:pPr>
      <w:r>
        <w:rPr>
          <w:rFonts w:ascii="Calibri" w:hAnsi="Calibri"/>
        </w:rPr>
        <w:t>Desde la fila del cliente, abra Cuenta Corriente para revisar cargos, pagos, señas y saldo.</w:t>
      </w:r>
    </w:p>
    <w:p>
      <w:pPr>
        <w:numPr>
          <w:ilvl w:val="0"/>
          <w:numId w:val="11"/>
        </w:numPr>
        <w:spacing w:after="80"/>
      </w:pPr>
      <w:r>
        <w:rPr>
          <w:rFonts w:ascii="Calibri" w:hAnsi="Calibri"/>
        </w:rPr>
        <w:t>Para registrar un pago, indique importe, medio de pago y caja o cuenta de destino.</w:t>
      </w:r>
    </w:p>
    <w:p>
      <w:pPr>
        <w:numPr>
          <w:ilvl w:val="0"/>
          <w:numId w:val="11"/>
        </w:numPr>
        <w:spacing w:after="80"/>
      </w:pPr>
      <w:r>
        <w:rPr>
          <w:rFonts w:ascii="Calibri" w:hAnsi="Calibri"/>
        </w:rPr>
        <w:t>Abra Ver pedidos para consultar tipo de trabajo, estado, total y saldo pendiente.</w:t>
      </w:r>
    </w:p>
    <w:p>
      <w:pPr>
        <w:numPr>
          <w:ilvl w:val="0"/>
          <w:numId w:val="11"/>
        </w:numPr>
        <w:spacing w:after="80"/>
      </w:pPr>
      <w:r>
        <w:rPr>
          <w:rFonts w:ascii="Calibri" w:hAnsi="Calibri"/>
        </w:rPr>
        <w:t>Emita el comprobante si el flujo de trabajo lo requiere.</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Importante: </w:t>
            </w:r>
            <w:r>
              <w:rPr>
                <w:rFonts w:ascii="Calibri" w:hAnsi="Calibri"/>
              </w:rPr>
              <w:t>un saldo pendiente debe mantenerse asociado al cliente hasta registrar el cobro efectivo.</w:t>
            </w:r>
          </w:p>
        </w:tc>
      </w:tr>
    </w:tbl>
    <w:p>
      <w:pPr>
        <w:spacing w:after="20"/>
      </w:pPr>
    </w:p>
    <w:p>
      <w:pPr>
        <w:pStyle w:val="Heading1"/>
      </w:pPr>
      <w:r>
        <w:t>4. Ventas, pedidos y recetas ópticas</w:t>
      </w:r>
    </w:p>
    <w:p>
      <w:pPr>
        <w:pStyle w:val="Heading2"/>
      </w:pPr>
      <w:r>
        <w:t>Venta rápida (no recetados)</w:t>
      </w:r>
    </w:p>
    <w:p>
      <w:pPr>
        <w:keepNext/>
        <w:jc w:val="center"/>
      </w:pPr>
      <w:r>
        <w:drawing>
          <wp:inline xmlns:a="http://schemas.openxmlformats.org/drawingml/2006/main" xmlns:pic="http://schemas.openxmlformats.org/drawingml/2006/picture">
            <wp:extent cx="6172200" cy="4114800"/>
            <wp:docPr id="4" name="Picture 4"/>
            <wp:cNvGraphicFramePr>
              <a:graphicFrameLocks noChangeAspect="1"/>
            </wp:cNvGraphicFramePr>
            <a:graphic>
              <a:graphicData uri="http://schemas.openxmlformats.org/drawingml/2006/picture">
                <pic:pic>
                  <pic:nvPicPr>
                    <pic:cNvPr id="0" name="04-ventas-rapidas.png"/>
                    <pic:cNvPicPr/>
                  </pic:nvPicPr>
                  <pic:blipFill>
                    <a:blip r:embed="rId14"/>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Ventas Rápidas.</w:t>
      </w:r>
    </w:p>
    <w:p>
      <w:pPr>
        <w:numPr>
          <w:ilvl w:val="0"/>
          <w:numId w:val="12"/>
        </w:numPr>
        <w:spacing w:after="80"/>
      </w:pPr>
      <w:r>
        <w:rPr>
          <w:rFonts w:ascii="Calibri" w:hAnsi="Calibri"/>
        </w:rPr>
        <w:t>Abra Venta No Recetados.</w:t>
      </w:r>
    </w:p>
    <w:p>
      <w:pPr>
        <w:numPr>
          <w:ilvl w:val="0"/>
          <w:numId w:val="12"/>
        </w:numPr>
        <w:spacing w:after="80"/>
      </w:pPr>
      <w:r>
        <w:rPr>
          <w:rFonts w:ascii="Calibri" w:hAnsi="Calibri"/>
        </w:rPr>
        <w:t>Busque y agregue productos de stock al carrito.</w:t>
      </w:r>
    </w:p>
    <w:p>
      <w:pPr>
        <w:numPr>
          <w:ilvl w:val="0"/>
          <w:numId w:val="12"/>
        </w:numPr>
        <w:spacing w:after="80"/>
      </w:pPr>
      <w:r>
        <w:rPr>
          <w:rFonts w:ascii="Calibri" w:hAnsi="Calibri"/>
        </w:rPr>
        <w:t>Revise cantidades, precio y descuentos autorizados.</w:t>
      </w:r>
    </w:p>
    <w:p>
      <w:pPr>
        <w:numPr>
          <w:ilvl w:val="0"/>
          <w:numId w:val="12"/>
        </w:numPr>
        <w:spacing w:after="80"/>
      </w:pPr>
      <w:r>
        <w:rPr>
          <w:rFonts w:ascii="Calibri" w:hAnsi="Calibri"/>
        </w:rPr>
        <w:t>Seleccione el cliente si corresponde y confirme el medio de pago.</w:t>
      </w:r>
    </w:p>
    <w:p>
      <w:pPr>
        <w:numPr>
          <w:ilvl w:val="0"/>
          <w:numId w:val="12"/>
        </w:numPr>
        <w:spacing w:after="80"/>
      </w:pPr>
      <w:r>
        <w:rPr>
          <w:rFonts w:ascii="Calibri" w:hAnsi="Calibri"/>
        </w:rPr>
        <w:t>Finalice la venta: el sistema registra el ingreso e impacta el stock.</w:t>
      </w:r>
    </w:p>
    <w:p>
      <w:pPr>
        <w:pStyle w:val="Heading2"/>
      </w:pPr>
      <w:r>
        <w:t>Crear un pedido óptico</w:t>
      </w:r>
    </w:p>
    <w:p>
      <w:pPr>
        <w:keepNext/>
        <w:jc w:val="center"/>
      </w:pPr>
      <w:r>
        <w:drawing>
          <wp:inline xmlns:a="http://schemas.openxmlformats.org/drawingml/2006/main" xmlns:pic="http://schemas.openxmlformats.org/drawingml/2006/picture">
            <wp:extent cx="6172200" cy="4114800"/>
            <wp:docPr id="5" name="Picture 5"/>
            <wp:cNvGraphicFramePr>
              <a:graphicFrameLocks noChangeAspect="1"/>
            </wp:cNvGraphicFramePr>
            <a:graphic>
              <a:graphicData uri="http://schemas.openxmlformats.org/drawingml/2006/picture">
                <pic:pic>
                  <pic:nvPicPr>
                    <pic:cNvPr id="0" name="05-pedidos.png"/>
                    <pic:cNvPicPr/>
                  </pic:nvPicPr>
                  <pic:blipFill>
                    <a:blip r:embed="rId15"/>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Selección del tipo de pedido recetado.</w:t>
      </w:r>
    </w:p>
    <w:p>
      <w:pPr>
        <w:keepNext/>
        <w:jc w:val="center"/>
      </w:pPr>
      <w:r>
        <w:drawing>
          <wp:inline xmlns:a="http://schemas.openxmlformats.org/drawingml/2006/main" xmlns:pic="http://schemas.openxmlformats.org/drawingml/2006/picture">
            <wp:extent cx="6172200" cy="4114800"/>
            <wp:docPr id="6" name="Picture 6"/>
            <wp:cNvGraphicFramePr>
              <a:graphicFrameLocks noChangeAspect="1"/>
            </wp:cNvGraphicFramePr>
            <a:graphic>
              <a:graphicData uri="http://schemas.openxmlformats.org/drawingml/2006/picture">
                <pic:pic>
                  <pic:nvPicPr>
                    <pic:cNvPr id="0" name="06-pedido-monofocal.png"/>
                    <pic:cNvPicPr/>
                  </pic:nvPicPr>
                  <pic:blipFill>
                    <a:blip r:embed="rId16"/>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Formulario real de Detalle de Pedido Monofocal, vacío y sanitizado.</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Cliente obligatorio: </w:t>
            </w:r>
            <w:r>
              <w:rPr>
                <w:rFonts w:ascii="Calibri" w:hAnsi="Calibri"/>
              </w:rPr>
              <w:t>todo pedido debe quedar asociado a un cliente. Desde este mismo panel puede buscar una ficha existente o crear una nueva antes de continuar.</w:t>
            </w:r>
          </w:p>
        </w:tc>
      </w:tr>
    </w:tbl>
    <w:p>
      <w:pPr>
        <w:spacing w:after="20"/>
      </w:pPr>
    </w:p>
    <w:p>
      <w:pPr>
        <w:numPr>
          <w:ilvl w:val="0"/>
          <w:numId w:val="13"/>
        </w:numPr>
        <w:spacing w:after="80"/>
      </w:pPr>
      <w:r>
        <w:rPr>
          <w:rFonts w:ascii="Calibri" w:hAnsi="Calibri"/>
        </w:rPr>
        <w:t>Abra Nuevo Pedido y seleccione el tipo de solución: monofocal, multifocal o lente de contacto.</w:t>
      </w:r>
    </w:p>
    <w:p>
      <w:pPr>
        <w:numPr>
          <w:ilvl w:val="0"/>
          <w:numId w:val="13"/>
        </w:numPr>
        <w:spacing w:after="80"/>
      </w:pPr>
      <w:r>
        <w:rPr>
          <w:rFonts w:ascii="Calibri" w:hAnsi="Calibri"/>
        </w:rPr>
        <w:t>Busque al cliente por nombre, DNI o teléfono. Si no existe, use la opción de alta disponible en el panel para crear su ficha y selecciónela.</w:t>
      </w:r>
    </w:p>
    <w:p>
      <w:pPr>
        <w:numPr>
          <w:ilvl w:val="0"/>
          <w:numId w:val="13"/>
        </w:numPr>
        <w:spacing w:after="80"/>
      </w:pPr>
      <w:r>
        <w:rPr>
          <w:rFonts w:ascii="Calibri" w:hAnsi="Calibri"/>
        </w:rPr>
        <w:t>Cargue los valores de receta solicitados: OD/OI, esférico, cilíndrico, eje, adición, distancia pupilar y, si aplica, altura de montaje.</w:t>
      </w:r>
    </w:p>
    <w:p>
      <w:pPr>
        <w:numPr>
          <w:ilvl w:val="0"/>
          <w:numId w:val="13"/>
        </w:numPr>
        <w:spacing w:after="80"/>
      </w:pPr>
      <w:r>
        <w:rPr>
          <w:rFonts w:ascii="Calibri" w:hAnsi="Calibri"/>
        </w:rPr>
        <w:t>Elija armazón, cristales y tratamientos. Verifique disponibilidad de stock por sucursal.</w:t>
      </w:r>
    </w:p>
    <w:p>
      <w:pPr>
        <w:numPr>
          <w:ilvl w:val="0"/>
          <w:numId w:val="13"/>
        </w:numPr>
        <w:spacing w:after="80"/>
      </w:pPr>
      <w:r>
        <w:rPr>
          <w:rFonts w:ascii="Calibri" w:hAnsi="Calibri"/>
        </w:rPr>
        <w:t>Defina el total, seña o pago completo y el destino del cobro.</w:t>
      </w:r>
    </w:p>
    <w:p>
      <w:pPr>
        <w:numPr>
          <w:ilvl w:val="0"/>
          <w:numId w:val="13"/>
        </w:numPr>
        <w:spacing w:after="80"/>
      </w:pPr>
      <w:r>
        <w:rPr>
          <w:rFonts w:ascii="Calibri" w:hAnsi="Calibri"/>
        </w:rPr>
        <w:t>Confirme el pedido. El estado inicial normalmente será En Taller.</w:t>
      </w:r>
    </w:p>
    <w:p>
      <w:pPr>
        <w:pStyle w:val="Heading2"/>
      </w:pPr>
      <w:r>
        <w:t>Seguimiento y entrega</w:t>
      </w:r>
    </w:p>
    <w:p>
      <w:pPr>
        <w:pStyle w:val="ListBullet"/>
        <w:spacing w:after="60"/>
      </w:pPr>
      <w:r>
        <w:rPr>
          <w:rFonts w:ascii="Calibri" w:hAnsi="Calibri"/>
        </w:rPr>
        <w:t>En Taller: trabajo enviado o pendiente de procesamiento.</w:t>
      </w:r>
    </w:p>
    <w:p>
      <w:pPr>
        <w:pStyle w:val="ListBullet"/>
        <w:spacing w:after="60"/>
      </w:pPr>
      <w:r>
        <w:rPr>
          <w:rFonts w:ascii="Calibri" w:hAnsi="Calibri"/>
        </w:rPr>
        <w:t>Para Retirar: trabajo terminado y disponible para el cliente.</w:t>
      </w:r>
    </w:p>
    <w:p>
      <w:pPr>
        <w:pStyle w:val="ListBullet"/>
        <w:spacing w:after="60"/>
      </w:pPr>
      <w:r>
        <w:rPr>
          <w:rFonts w:ascii="Calibri" w:hAnsi="Calibri"/>
        </w:rPr>
        <w:t>Completado: pedido entregado y cerrado. Antes de marcarlo, registre cualquier saldo restante.</w:t>
      </w:r>
    </w:p>
    <w:p>
      <w:pPr>
        <w:pStyle w:val="Heading1"/>
      </w:pPr>
      <w:r>
        <w:t>5. Proveedores, compras y facturas</w:t>
      </w:r>
    </w:p>
    <w:p>
      <w:pPr>
        <w:keepNext/>
        <w:jc w:val="center"/>
      </w:pPr>
      <w:r>
        <w:drawing>
          <wp:inline xmlns:a="http://schemas.openxmlformats.org/drawingml/2006/main" xmlns:pic="http://schemas.openxmlformats.org/drawingml/2006/picture">
            <wp:extent cx="6172200" cy="4114800"/>
            <wp:docPr id="7" name="Picture 7"/>
            <wp:cNvGraphicFramePr>
              <a:graphicFrameLocks noChangeAspect="1"/>
            </wp:cNvGraphicFramePr>
            <a:graphic>
              <a:graphicData uri="http://schemas.openxmlformats.org/drawingml/2006/picture">
                <pic:pic>
                  <pic:nvPicPr>
                    <pic:cNvPr id="0" name="08-proveedores.png"/>
                    <pic:cNvPicPr/>
                  </pic:nvPicPr>
                  <pic:blipFill>
                    <a:blip r:embed="rId17"/>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Proveedores; los registros fueron ocultados.</w:t>
      </w:r>
    </w:p>
    <w:p>
      <w:pPr>
        <w:pStyle w:val="Heading2"/>
      </w:pPr>
      <w:r>
        <w:t>Registrar proveedor</w:t>
      </w:r>
    </w:p>
    <w:p>
      <w:r>
        <w:rPr>
          <w:rFonts w:ascii="Calibri" w:hAnsi="Calibri"/>
        </w:rPr>
        <w:t>En Proveedores, cree o edite la ficha con razón social, CUIT, datos de contacto, rubro, datos bancarios y condición de pago habitual.</w:t>
      </w:r>
    </w:p>
    <w:p>
      <w:pPr>
        <w:pStyle w:val="Heading2"/>
      </w:pPr>
      <w:r>
        <w:t>Cargar una compra</w:t>
      </w:r>
    </w:p>
    <w:p>
      <w:pPr>
        <w:numPr>
          <w:ilvl w:val="0"/>
          <w:numId w:val="14"/>
        </w:numPr>
        <w:spacing w:after="80"/>
      </w:pPr>
      <w:r>
        <w:rPr>
          <w:rFonts w:ascii="Calibri" w:hAnsi="Calibri"/>
        </w:rPr>
        <w:t>Abra Proveedores y seleccione la sección de Compras.</w:t>
      </w:r>
    </w:p>
    <w:p>
      <w:pPr>
        <w:numPr>
          <w:ilvl w:val="0"/>
          <w:numId w:val="14"/>
        </w:numPr>
        <w:spacing w:after="80"/>
      </w:pPr>
      <w:r>
        <w:rPr>
          <w:rFonts w:ascii="Calibri" w:hAnsi="Calibri"/>
        </w:rPr>
        <w:t>Elija Cargar nueva compra.</w:t>
      </w:r>
    </w:p>
    <w:p>
      <w:pPr>
        <w:numPr>
          <w:ilvl w:val="0"/>
          <w:numId w:val="14"/>
        </w:numPr>
        <w:spacing w:after="80"/>
      </w:pPr>
      <w:r>
        <w:rPr>
          <w:rFonts w:ascii="Calibri" w:hAnsi="Calibri"/>
        </w:rPr>
        <w:t>Indique proveedor, tipo y número de comprobante, fechas de emisión y vencimiento, importe y condición de pago.</w:t>
      </w:r>
    </w:p>
    <w:p>
      <w:pPr>
        <w:numPr>
          <w:ilvl w:val="0"/>
          <w:numId w:val="14"/>
        </w:numPr>
        <w:spacing w:after="80"/>
      </w:pPr>
      <w:r>
        <w:rPr>
          <w:rFonts w:ascii="Calibri" w:hAnsi="Calibri"/>
        </w:rPr>
        <w:t>Agregue una descripción que permita identificar la operación.</w:t>
      </w:r>
    </w:p>
    <w:p>
      <w:pPr>
        <w:numPr>
          <w:ilvl w:val="0"/>
          <w:numId w:val="14"/>
        </w:numPr>
        <w:spacing w:after="80"/>
      </w:pPr>
      <w:r>
        <w:rPr>
          <w:rFonts w:ascii="Calibri" w:hAnsi="Calibri"/>
        </w:rPr>
        <w:t>Confirme. La compra impactará en la cuenta corriente del proveedor y, si corresponde, en el inventario.</w:t>
      </w:r>
    </w:p>
    <w:p>
      <w:pPr>
        <w:pStyle w:val="Heading2"/>
      </w:pPr>
      <w:r>
        <w:t>Controlar facturas pendientes</w:t>
      </w:r>
    </w:p>
    <w:p>
      <w:pPr>
        <w:pStyle w:val="ListBullet"/>
        <w:spacing w:after="60"/>
      </w:pPr>
      <w:r>
        <w:rPr>
          <w:rFonts w:ascii="Calibri" w:hAnsi="Calibri"/>
        </w:rPr>
        <w:t>Abra Facturas Pendientes para ordenar obligaciones por vencimiento.</w:t>
      </w:r>
    </w:p>
    <w:p>
      <w:pPr>
        <w:pStyle w:val="ListBullet"/>
        <w:spacing w:after="60"/>
      </w:pPr>
      <w:r>
        <w:rPr>
          <w:rFonts w:ascii="Calibri" w:hAnsi="Calibri"/>
        </w:rPr>
        <w:t>Revise importes, fechas y estado para priorizar pagos.</w:t>
      </w:r>
    </w:p>
    <w:p>
      <w:pPr>
        <w:pStyle w:val="ListBullet"/>
        <w:spacing w:after="60"/>
      </w:pPr>
      <w:r>
        <w:rPr>
          <w:rFonts w:ascii="Calibri" w:hAnsi="Calibri"/>
        </w:rPr>
        <w:t>Al pagar, genere la orden de pago y seleccione la caja o banco de donde sale el dinero.</w:t>
      </w:r>
    </w:p>
    <w:p>
      <w:pPr>
        <w:pStyle w:val="ListBullet"/>
        <w:spacing w:after="60"/>
      </w:pPr>
      <w:r>
        <w:rPr>
          <w:rFonts w:ascii="Calibri" w:hAnsi="Calibri"/>
        </w:rPr>
        <w:t>Compruebe que el saldo del proveedor disminuya después de confirmar.</w:t>
      </w:r>
    </w:p>
    <w:p>
      <w:pPr>
        <w:pStyle w:val="Heading2"/>
      </w:pPr>
      <w:r>
        <w:t>Laboratorios</w:t>
      </w:r>
    </w:p>
    <w:p>
      <w:pPr>
        <w:keepNext/>
        <w:jc w:val="center"/>
      </w:pPr>
      <w:r>
        <w:drawing>
          <wp:inline xmlns:a="http://schemas.openxmlformats.org/drawingml/2006/main" xmlns:pic="http://schemas.openxmlformats.org/drawingml/2006/picture">
            <wp:extent cx="6172200" cy="4114800"/>
            <wp:docPr id="8" name="Picture 8"/>
            <wp:cNvGraphicFramePr>
              <a:graphicFrameLocks noChangeAspect="1"/>
            </wp:cNvGraphicFramePr>
            <a:graphic>
              <a:graphicData uri="http://schemas.openxmlformats.org/drawingml/2006/picture">
                <pic:pic>
                  <pic:nvPicPr>
                    <pic:cNvPr id="0" name="09-laboratorios.png"/>
                    <pic:cNvPicPr/>
                  </pic:nvPicPr>
                  <pic:blipFill>
                    <a:blip r:embed="rId18"/>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Laboratorios; los registros fueron ocultados.</w:t>
      </w:r>
    </w:p>
    <w:p>
      <w:r>
        <w:rPr>
          <w:rFonts w:ascii="Calibri" w:hAnsi="Calibri"/>
        </w:rPr>
        <w:t>Use esta sección para controlar trabajos derivados y su liquidación. Actualice un estado solamente cuando exista respaldo del taller o laboratorio.</w:t>
      </w:r>
    </w:p>
    <w:p>
      <w:pPr>
        <w:pStyle w:val="Heading1"/>
      </w:pPr>
      <w:r>
        <w:t>6. Inventario y movimientos de stock</w:t>
      </w:r>
    </w:p>
    <w:p>
      <w:r>
        <w:rPr>
          <w:rFonts w:ascii="Calibri" w:hAnsi="Calibri"/>
        </w:rPr>
        <w:t>El inventario administra productos por SKU, categoría y sucursal. Incluye armazones, cristales, lentes de contacto, lentes de sol y accesorios.</w:t>
      </w:r>
    </w:p>
    <w:p>
      <w:pPr>
        <w:keepNext/>
        <w:jc w:val="center"/>
      </w:pPr>
      <w:r>
        <w:drawing>
          <wp:inline xmlns:a="http://schemas.openxmlformats.org/drawingml/2006/main" xmlns:pic="http://schemas.openxmlformats.org/drawingml/2006/picture">
            <wp:extent cx="6172200" cy="4114800"/>
            <wp:docPr id="9" name="Picture 9"/>
            <wp:cNvGraphicFramePr>
              <a:graphicFrameLocks noChangeAspect="1"/>
            </wp:cNvGraphicFramePr>
            <a:graphic>
              <a:graphicData uri="http://schemas.openxmlformats.org/drawingml/2006/picture">
                <pic:pic>
                  <pic:nvPicPr>
                    <pic:cNvPr id="0" name="07-stock.png"/>
                    <pic:cNvPicPr/>
                  </pic:nvPicPr>
                  <pic:blipFill>
                    <a:blip r:embed="rId19"/>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Stock; los registros fueron ocultados.</w:t>
      </w:r>
    </w:p>
    <w:p>
      <w:pPr>
        <w:pStyle w:val="Heading2"/>
      </w:pPr>
      <w:r>
        <w:t>Alta y ajuste de productos</w:t>
      </w:r>
    </w:p>
    <w:p>
      <w:pPr>
        <w:numPr>
          <w:ilvl w:val="0"/>
          <w:numId w:val="15"/>
        </w:numPr>
        <w:spacing w:after="80"/>
      </w:pPr>
      <w:r>
        <w:rPr>
          <w:rFonts w:ascii="Calibri" w:hAnsi="Calibri"/>
        </w:rPr>
        <w:t>Abra Gestión de Stock y seleccione Nuevo producto o edite uno existente.</w:t>
      </w:r>
    </w:p>
    <w:p>
      <w:pPr>
        <w:numPr>
          <w:ilvl w:val="0"/>
          <w:numId w:val="15"/>
        </w:numPr>
        <w:spacing w:after="80"/>
      </w:pPr>
      <w:r>
        <w:rPr>
          <w:rFonts w:ascii="Calibri" w:hAnsi="Calibri"/>
        </w:rPr>
        <w:t>Complete SKU, nombre, categoría, precios y umbral de stock crítico.</w:t>
      </w:r>
    </w:p>
    <w:p>
      <w:pPr>
        <w:numPr>
          <w:ilvl w:val="0"/>
          <w:numId w:val="15"/>
        </w:numPr>
        <w:spacing w:after="80"/>
      </w:pPr>
      <w:r>
        <w:rPr>
          <w:rFonts w:ascii="Calibri" w:hAnsi="Calibri"/>
        </w:rPr>
        <w:t>Registre el stock por sucursal cuando corresponda y guarde.</w:t>
      </w:r>
    </w:p>
    <w:p>
      <w:pPr>
        <w:pStyle w:val="Heading2"/>
      </w:pPr>
      <w:r>
        <w:t>Movimientos</w:t>
      </w:r>
    </w:p>
    <w:p>
      <w:pPr>
        <w:pStyle w:val="ListBullet"/>
        <w:spacing w:after="60"/>
      </w:pPr>
      <w:r>
        <w:rPr>
          <w:rFonts w:ascii="Calibri" w:hAnsi="Calibri"/>
        </w:rPr>
        <w:t>Ingreso: utilícelo al recibir mercadería; asocie proveedor y factura si están disponibles.</w:t>
      </w:r>
    </w:p>
    <w:p>
      <w:pPr>
        <w:pStyle w:val="ListBullet"/>
        <w:spacing w:after="60"/>
      </w:pPr>
      <w:r>
        <w:rPr>
          <w:rFonts w:ascii="Calibri" w:hAnsi="Calibri"/>
        </w:rPr>
        <w:t>Egreso: registre ajustes, roturas, devoluciones u otras salidas justificadas.</w:t>
      </w:r>
    </w:p>
    <w:p>
      <w:pPr>
        <w:pStyle w:val="ListBullet"/>
        <w:spacing w:after="60"/>
      </w:pPr>
      <w:r>
        <w:rPr>
          <w:rFonts w:ascii="Calibri" w:hAnsi="Calibri"/>
        </w:rPr>
        <w:t>Mover stock: elija sucursal de origen, destino y cantidad. El sistema valida que haya unidades disponibles.</w:t>
      </w:r>
    </w:p>
    <w:p>
      <w:pPr>
        <w:pStyle w:val="ListBullet"/>
        <w:spacing w:after="60"/>
      </w:pPr>
      <w:r>
        <w:rPr>
          <w:rFonts w:ascii="Calibri" w:hAnsi="Calibri"/>
        </w:rPr>
        <w:t>Revise Movimientos de Stock para auditar el historial.</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Alerta de stock: </w:t>
            </w:r>
            <w:r>
              <w:rPr>
                <w:rFonts w:ascii="Calibri" w:hAnsi="Calibri"/>
              </w:rPr>
              <w:t>cuando una existencia alcanza el mínimo configurado, planifique la reposición antes de confirmar nuevas ventas.</w:t>
            </w:r>
          </w:p>
        </w:tc>
      </w:tr>
    </w:tbl>
    <w:p>
      <w:pPr>
        <w:spacing w:after="20"/>
      </w:pPr>
    </w:p>
    <w:p>
      <w:pPr>
        <w:pStyle w:val="Heading1"/>
      </w:pPr>
      <w:r>
        <w:t>7. Caja, finanzas y conciliación</w:t>
      </w:r>
    </w:p>
    <w:p>
      <w:pPr>
        <w:keepNext/>
        <w:jc w:val="center"/>
      </w:pPr>
      <w:r>
        <w:drawing>
          <wp:inline xmlns:a="http://schemas.openxmlformats.org/drawingml/2006/main" xmlns:pic="http://schemas.openxmlformats.org/drawingml/2006/picture">
            <wp:extent cx="6172200" cy="4114800"/>
            <wp:docPr id="10" name="Picture 10"/>
            <wp:cNvGraphicFramePr>
              <a:graphicFrameLocks noChangeAspect="1"/>
            </wp:cNvGraphicFramePr>
            <a:graphic>
              <a:graphicData uri="http://schemas.openxmlformats.org/drawingml/2006/picture">
                <pic:pic>
                  <pic:nvPicPr>
                    <pic:cNvPr id="0" name="10-caja-finanzas.png"/>
                    <pic:cNvPicPr/>
                  </pic:nvPicPr>
                  <pic:blipFill>
                    <a:blip r:embed="rId20"/>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Caja y Finanzas; movimientos e identidad fueron sanitizados.</w:t>
      </w:r>
    </w:p>
    <w:p>
      <w:pPr>
        <w:pStyle w:val="Heading2"/>
      </w:pPr>
      <w:r>
        <w:t>Registrar movimientos de caja</w:t>
      </w:r>
    </w:p>
    <w:p>
      <w:pPr>
        <w:numPr>
          <w:ilvl w:val="0"/>
          <w:numId w:val="16"/>
        </w:numPr>
        <w:spacing w:after="80"/>
      </w:pPr>
      <w:r>
        <w:rPr>
          <w:rFonts w:ascii="Calibri" w:hAnsi="Calibri"/>
        </w:rPr>
        <w:t>Abra Caja y Finanzas y seleccione la caja o cuenta correspondiente.</w:t>
      </w:r>
    </w:p>
    <w:p>
      <w:pPr>
        <w:numPr>
          <w:ilvl w:val="0"/>
          <w:numId w:val="16"/>
        </w:numPr>
        <w:spacing w:after="80"/>
      </w:pPr>
      <w:r>
        <w:rPr>
          <w:rFonts w:ascii="Calibri" w:hAnsi="Calibri"/>
        </w:rPr>
        <w:t>Use Nuevo movimiento para cargar ingresos o egresos no registrados desde una venta o pago.</w:t>
      </w:r>
    </w:p>
    <w:p>
      <w:pPr>
        <w:numPr>
          <w:ilvl w:val="0"/>
          <w:numId w:val="16"/>
        </w:numPr>
        <w:spacing w:after="80"/>
      </w:pPr>
      <w:r>
        <w:rPr>
          <w:rFonts w:ascii="Calibri" w:hAnsi="Calibri"/>
        </w:rPr>
        <w:t>Indique concepto, categoría, importe, fecha y comprobante de respaldo cuando exista.</w:t>
      </w:r>
    </w:p>
    <w:p>
      <w:pPr>
        <w:numPr>
          <w:ilvl w:val="0"/>
          <w:numId w:val="16"/>
        </w:numPr>
        <w:spacing w:after="80"/>
      </w:pPr>
      <w:r>
        <w:rPr>
          <w:rFonts w:ascii="Calibri" w:hAnsi="Calibri"/>
        </w:rPr>
        <w:t>Confirme y revise el saldo actualizado.</w:t>
      </w:r>
    </w:p>
    <w:p>
      <w:pPr>
        <w:pStyle w:val="Heading2"/>
      </w:pPr>
      <w:r>
        <w:t>Cierre de caja</w:t>
      </w:r>
    </w:p>
    <w:p>
      <w:pPr>
        <w:numPr>
          <w:ilvl w:val="0"/>
          <w:numId w:val="17"/>
        </w:numPr>
        <w:spacing w:after="80"/>
      </w:pPr>
      <w:r>
        <w:rPr>
          <w:rFonts w:ascii="Calibri" w:hAnsi="Calibri"/>
        </w:rPr>
        <w:t>Al finalizar la jornada, abra Cierre de Caja.</w:t>
      </w:r>
    </w:p>
    <w:p>
      <w:pPr>
        <w:numPr>
          <w:ilvl w:val="0"/>
          <w:numId w:val="17"/>
        </w:numPr>
        <w:spacing w:after="80"/>
      </w:pPr>
      <w:r>
        <w:rPr>
          <w:rFonts w:ascii="Calibri" w:hAnsi="Calibri"/>
        </w:rPr>
        <w:t>Cuente el efectivo físico y cargue el monto real.</w:t>
      </w:r>
    </w:p>
    <w:p>
      <w:pPr>
        <w:numPr>
          <w:ilvl w:val="0"/>
          <w:numId w:val="17"/>
        </w:numPr>
        <w:spacing w:after="80"/>
      </w:pPr>
      <w:r>
        <w:rPr>
          <w:rFonts w:ascii="Calibri" w:hAnsi="Calibri"/>
        </w:rPr>
        <w:t>Compare el resultado con el saldo teórico. Si existe diferencia, revise los movimientos antes de confirmar.</w:t>
      </w:r>
    </w:p>
    <w:p>
      <w:pPr>
        <w:numPr>
          <w:ilvl w:val="0"/>
          <w:numId w:val="17"/>
        </w:numPr>
        <w:spacing w:after="80"/>
      </w:pPr>
      <w:r>
        <w:rPr>
          <w:rFonts w:ascii="Calibri" w:hAnsi="Calibri"/>
        </w:rPr>
        <w:t>Registre observaciones y confirme el cierre cuando esté validado.</w:t>
      </w:r>
    </w:p>
    <w:p>
      <w:pPr>
        <w:pStyle w:val="Heading2"/>
      </w:pPr>
      <w:r>
        <w:t>Conciliación bancaria</w:t>
      </w:r>
    </w:p>
    <w:p>
      <w:pPr>
        <w:numPr>
          <w:ilvl w:val="0"/>
          <w:numId w:val="18"/>
        </w:numPr>
        <w:spacing w:after="80"/>
      </w:pPr>
      <w:r>
        <w:rPr>
          <w:rFonts w:ascii="Calibri" w:hAnsi="Calibri"/>
        </w:rPr>
        <w:t>Abra la pestaña Conciliación.</w:t>
      </w:r>
    </w:p>
    <w:p>
      <w:pPr>
        <w:numPr>
          <w:ilvl w:val="0"/>
          <w:numId w:val="18"/>
        </w:numPr>
        <w:spacing w:after="80"/>
      </w:pPr>
      <w:r>
        <w:rPr>
          <w:rFonts w:ascii="Calibri" w:hAnsi="Calibri"/>
        </w:rPr>
        <w:t>Seleccione banco o cuenta y defina el rango de fechas según el extracto.</w:t>
      </w:r>
    </w:p>
    <w:p>
      <w:pPr>
        <w:numPr>
          <w:ilvl w:val="0"/>
          <w:numId w:val="18"/>
        </w:numPr>
        <w:spacing w:after="80"/>
      </w:pPr>
      <w:r>
        <w:rPr>
          <w:rFonts w:ascii="Calibri" w:hAnsi="Calibri"/>
        </w:rPr>
        <w:t>Ingrese el saldo final informado por el banco y, de existir, los gastos bancarios.</w:t>
      </w:r>
    </w:p>
    <w:p>
      <w:pPr>
        <w:numPr>
          <w:ilvl w:val="0"/>
          <w:numId w:val="18"/>
        </w:numPr>
        <w:spacing w:after="80"/>
      </w:pPr>
      <w:r>
        <w:rPr>
          <w:rFonts w:ascii="Calibri" w:hAnsi="Calibri"/>
        </w:rPr>
        <w:t>Compare los movimientos mostrados con el extracto y márquelos como conciliados.</w:t>
      </w:r>
    </w:p>
    <w:p>
      <w:pPr>
        <w:numPr>
          <w:ilvl w:val="0"/>
          <w:numId w:val="18"/>
        </w:numPr>
        <w:spacing w:after="80"/>
      </w:pPr>
      <w:r>
        <w:rPr>
          <w:rFonts w:ascii="Calibri" w:hAnsi="Calibri"/>
        </w:rPr>
        <w:t>Cuando la diferencia sea cero y las transacciones estén revisadas, confirme la conciliación.</w:t>
      </w:r>
    </w:p>
    <w:p>
      <w:pPr>
        <w:pStyle w:val="Heading1"/>
      </w:pPr>
      <w:r>
        <w:t>8. Reportes, marketing, configuración y soporte</w:t>
      </w:r>
    </w:p>
    <w:p>
      <w:pPr>
        <w:pStyle w:val="Heading2"/>
      </w:pPr>
      <w:r>
        <w:t>Borradores de facturación</w:t>
      </w:r>
    </w:p>
    <w:p>
      <w:pPr>
        <w:keepNext/>
        <w:jc w:val="center"/>
      </w:pPr>
      <w:r>
        <w:drawing>
          <wp:inline xmlns:a="http://schemas.openxmlformats.org/drawingml/2006/main" xmlns:pic="http://schemas.openxmlformats.org/drawingml/2006/picture">
            <wp:extent cx="6172200" cy="4114800"/>
            <wp:docPr id="11" name="Picture 11"/>
            <wp:cNvGraphicFramePr>
              <a:graphicFrameLocks noChangeAspect="1"/>
            </wp:cNvGraphicFramePr>
            <a:graphic>
              <a:graphicData uri="http://schemas.openxmlformats.org/drawingml/2006/picture">
                <pic:pic>
                  <pic:nvPicPr>
                    <pic:cNvPr id="0" name="11-borradores-facturacion.png"/>
                    <pic:cNvPicPr/>
                  </pic:nvPicPr>
                  <pic:blipFill>
                    <a:blip r:embed="rId21"/>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Borradores de Facturación; los registros fueron ocultados.</w:t>
      </w:r>
    </w:p>
    <w:p>
      <w:r>
        <w:rPr>
          <w:rFonts w:ascii="Calibri" w:hAnsi="Calibri"/>
        </w:rPr>
        <w:t>Revise cliente, condición fiscal, detalle, importes, tipo de comprobante y punto de venta antes de procesar un borrador. La emisión fiscal debe realizarse únicamente con autorización.</w:t>
      </w:r>
    </w:p>
    <w:p>
      <w:pPr>
        <w:pStyle w:val="Heading2"/>
      </w:pPr>
      <w:r>
        <w:t>Reportes</w:t>
      </w:r>
    </w:p>
    <w:p>
      <w:pPr>
        <w:keepNext/>
        <w:jc w:val="center"/>
      </w:pPr>
      <w:r>
        <w:drawing>
          <wp:inline xmlns:a="http://schemas.openxmlformats.org/drawingml/2006/main" xmlns:pic="http://schemas.openxmlformats.org/drawingml/2006/picture">
            <wp:extent cx="6172200" cy="4114800"/>
            <wp:docPr id="12" name="Picture 12"/>
            <wp:cNvGraphicFramePr>
              <a:graphicFrameLocks noChangeAspect="1"/>
            </wp:cNvGraphicFramePr>
            <a:graphic>
              <a:graphicData uri="http://schemas.openxmlformats.org/drawingml/2006/picture">
                <pic:pic>
                  <pic:nvPicPr>
                    <pic:cNvPr id="0" name="12-reportes.png"/>
                    <pic:cNvPicPr/>
                  </pic:nvPicPr>
                  <pic:blipFill>
                    <a:blip r:embed="rId22"/>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Reportes.</w:t>
      </w:r>
    </w:p>
    <w:p>
      <w:r>
        <w:rPr>
          <w:rFonts w:ascii="Calibri" w:hAnsi="Calibri"/>
        </w:rPr>
        <w:t>Reportes permite analizar ventas, egresos, recetas y rentabilidad. Aplique los filtros disponibles antes de consultar o exportar resultados.</w:t>
      </w:r>
    </w:p>
    <w:p>
      <w:pPr>
        <w:pStyle w:val="Heading2"/>
      </w:pPr>
      <w:r>
        <w:t>CRM y marketing</w:t>
      </w:r>
    </w:p>
    <w:p>
      <w:pPr>
        <w:keepNext/>
        <w:jc w:val="center"/>
      </w:pPr>
      <w:r>
        <w:drawing>
          <wp:inline xmlns:a="http://schemas.openxmlformats.org/drawingml/2006/main" xmlns:pic="http://schemas.openxmlformats.org/drawingml/2006/picture">
            <wp:extent cx="6172200" cy="4114800"/>
            <wp:docPr id="13" name="Picture 13"/>
            <wp:cNvGraphicFramePr>
              <a:graphicFrameLocks noChangeAspect="1"/>
            </wp:cNvGraphicFramePr>
            <a:graphic>
              <a:graphicData uri="http://schemas.openxmlformats.org/drawingml/2006/picture">
                <pic:pic>
                  <pic:nvPicPr>
                    <pic:cNvPr id="0" name="13-crm-marketing.png"/>
                    <pic:cNvPicPr/>
                  </pic:nvPicPr>
                  <pic:blipFill>
                    <a:blip r:embed="rId23"/>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CRM y Marketing; datos identificatorios sanitizados.</w:t>
      </w:r>
    </w:p>
    <w:p>
      <w:r>
        <w:rPr>
          <w:rFonts w:ascii="Calibri" w:hAnsi="Calibri"/>
        </w:rPr>
        <w:t>El módulo CRM &amp; Marketing ayuda a segmentar clientes y gestionar acciones de fidelización o recordatorios. Confirme siempre el segmento, el contenido y los permisos antes de realizar un envío.</w:t>
      </w:r>
    </w:p>
    <w:p>
      <w:pPr>
        <w:pStyle w:val="Heading2"/>
      </w:pPr>
      <w:r>
        <w:t>Configuración</w:t>
      </w:r>
    </w:p>
    <w:p>
      <w:pPr>
        <w:keepNext/>
        <w:jc w:val="center"/>
      </w:pPr>
      <w:r>
        <w:drawing>
          <wp:inline xmlns:a="http://schemas.openxmlformats.org/drawingml/2006/main" xmlns:pic="http://schemas.openxmlformats.org/drawingml/2006/picture">
            <wp:extent cx="6172200" cy="4114800"/>
            <wp:docPr id="14" name="Picture 14"/>
            <wp:cNvGraphicFramePr>
              <a:graphicFrameLocks noChangeAspect="1"/>
            </wp:cNvGraphicFramePr>
            <a:graphic>
              <a:graphicData uri="http://schemas.openxmlformats.org/drawingml/2006/picture">
                <pic:pic>
                  <pic:nvPicPr>
                    <pic:cNvPr id="0" name="14-ajustes.png"/>
                    <pic:cNvPicPr/>
                  </pic:nvPicPr>
                  <pic:blipFill>
                    <a:blip r:embed="rId24"/>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Ajustes.</w:t>
      </w:r>
    </w:p>
    <w:p>
      <w:pPr>
        <w:pStyle w:val="ListBullet"/>
        <w:spacing w:after="60"/>
      </w:pPr>
      <w:r>
        <w:rPr>
          <w:rFonts w:ascii="Calibri" w:hAnsi="Calibri"/>
        </w:rPr>
        <w:t>Administre sucursales, usuarios y permisos únicamente con una cuenta autorizada.</w:t>
      </w:r>
    </w:p>
    <w:p>
      <w:pPr>
        <w:pStyle w:val="ListBullet"/>
        <w:spacing w:after="60"/>
      </w:pPr>
      <w:r>
        <w:rPr>
          <w:rFonts w:ascii="Calibri" w:hAnsi="Calibri"/>
        </w:rPr>
        <w:t>Actualice categorías, medios de pago y parámetros operativos antes de que se utilicen en nuevas transacciones.</w:t>
      </w:r>
    </w:p>
    <w:p>
      <w:pPr>
        <w:pStyle w:val="ListBullet"/>
        <w:spacing w:after="60"/>
      </w:pPr>
      <w:r>
        <w:rPr>
          <w:rFonts w:ascii="Calibri" w:hAnsi="Calibri"/>
        </w:rPr>
        <w:t>Mantenga las copias de seguridad y la información de acceso bajo control del administrador.</w:t>
      </w:r>
    </w:p>
    <w:p>
      <w:pPr>
        <w:pStyle w:val="Heading2"/>
      </w:pPr>
      <w:r>
        <w:t>Ayuda y soporte</w:t>
      </w:r>
    </w:p>
    <w:p>
      <w:pPr>
        <w:keepNext/>
        <w:jc w:val="center"/>
      </w:pPr>
      <w:r>
        <w:drawing>
          <wp:inline xmlns:a="http://schemas.openxmlformats.org/drawingml/2006/main" xmlns:pic="http://schemas.openxmlformats.org/drawingml/2006/picture">
            <wp:extent cx="6172200" cy="4114800"/>
            <wp:docPr id="15" name="Picture 15"/>
            <wp:cNvGraphicFramePr>
              <a:graphicFrameLocks noChangeAspect="1"/>
            </wp:cNvGraphicFramePr>
            <a:graphic>
              <a:graphicData uri="http://schemas.openxmlformats.org/drawingml/2006/picture">
                <pic:pic>
                  <pic:nvPicPr>
                    <pic:cNvPr id="0" name="15-ayuda.png"/>
                    <pic:cNvPicPr/>
                  </pic:nvPicPr>
                  <pic:blipFill>
                    <a:blip r:embed="rId25"/>
                    <a:stretch>
                      <a:fillRect/>
                    </a:stretch>
                  </pic:blipFill>
                  <pic:spPr>
                    <a:xfrm>
                      <a:off x="0" y="0"/>
                      <a:ext cx="6172200" cy="4114800"/>
                    </a:xfrm>
                    <a:prstGeom prst="rect"/>
                  </pic:spPr>
                </pic:pic>
              </a:graphicData>
            </a:graphic>
          </wp:inline>
        </w:drawing>
      </w:r>
    </w:p>
    <w:p>
      <w:pPr>
        <w:spacing w:after="160"/>
        <w:jc w:val="center"/>
      </w:pPr>
      <w:r>
        <w:rPr>
          <w:rFonts w:ascii="Calibri" w:hAnsi="Calibri"/>
          <w:b w:val="0"/>
          <w:color w:val="64748B"/>
          <w:sz w:val="17"/>
        </w:rPr>
        <w:t>Pantalla de Ayuda y manual guiado.</w:t>
      </w:r>
    </w:p>
    <w:p>
      <w:r>
        <w:rPr>
          <w:rFonts w:ascii="Calibri" w:hAnsi="Calibri"/>
        </w:rPr>
        <w:t>Utilice Ayuda y Soporte para consultar preguntas frecuentes y flujos del sistema. Cuando informe una incidencia, indique el módulo, la acción realizada, el mensaje visible y una captura si es posible.</w:t>
      </w:r>
    </w:p>
    <w:p>
      <w:pPr>
        <w:pStyle w:val="Heading1"/>
      </w:pPr>
      <w:r>
        <w:t>9. Complemento operativo basado en el plan QA</w:t>
      </w:r>
    </w:p>
    <w:p>
      <w:pPr>
        <w:pStyle w:val="Heading2"/>
      </w:pPr>
      <w:r>
        <w:t>Alta, búsqueda e historial de clientes</w:t>
      </w:r>
    </w:p>
    <w:p>
      <w:pPr>
        <w:keepNext/>
        <w:jc w:val="center"/>
      </w:pPr>
      <w:r>
        <w:drawing>
          <wp:inline xmlns:a="http://schemas.openxmlformats.org/drawingml/2006/main" xmlns:pic="http://schemas.openxmlformats.org/drawingml/2006/picture">
            <wp:extent cx="6172200" cy="4286250"/>
            <wp:docPr id="16" name="Picture 16"/>
            <wp:cNvGraphicFramePr>
              <a:graphicFrameLocks noChangeAspect="1"/>
            </wp:cNvGraphicFramePr>
            <a:graphic>
              <a:graphicData uri="http://schemas.openxmlformats.org/drawingml/2006/picture">
                <pic:pic>
                  <pic:nvPicPr>
                    <pic:cNvPr id="0" name="16-alta-cliente.png"/>
                    <pic:cNvPicPr/>
                  </pic:nvPicPr>
                  <pic:blipFill>
                    <a:blip r:embed="rId26"/>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vacío de alta de cliente.</w:t>
      </w:r>
    </w:p>
    <w:p>
      <w:r>
        <w:rPr>
          <w:rFonts w:ascii="Calibri" w:hAnsi="Calibri"/>
        </w:rPr>
        <w:t>Busque primero por DNI o nombre para evitar duplicados. Complete nombre, apellido, identificación, nacimiento, contacto, dirección, obra social y afiliado. Si aparece una advertencia de DNI duplicado, cancele y abra la ficha existente. Use el historial para comparar pedidos y recetas; preserve los registros asociados.</w:t>
      </w:r>
    </w:p>
    <w:p>
      <w:pPr>
        <w:pStyle w:val="Heading2"/>
      </w:pPr>
      <w:r>
        <w:t>Inventario: productos e ingresos</w:t>
      </w:r>
    </w:p>
    <w:p>
      <w:pPr>
        <w:keepNext/>
        <w:jc w:val="center"/>
      </w:pPr>
      <w:r>
        <w:drawing>
          <wp:inline xmlns:a="http://schemas.openxmlformats.org/drawingml/2006/main" xmlns:pic="http://schemas.openxmlformats.org/drawingml/2006/picture">
            <wp:extent cx="6172200" cy="4286250"/>
            <wp:docPr id="17" name="Picture 17"/>
            <wp:cNvGraphicFramePr>
              <a:graphicFrameLocks noChangeAspect="1"/>
            </wp:cNvGraphicFramePr>
            <a:graphic>
              <a:graphicData uri="http://schemas.openxmlformats.org/drawingml/2006/picture">
                <pic:pic>
                  <pic:nvPicPr>
                    <pic:cNvPr id="0" name="17-alta-producto.png"/>
                    <pic:cNvPicPr/>
                  </pic:nvPicPr>
                  <pic:blipFill>
                    <a:blip r:embed="rId27"/>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vacío de alta de producto.</w:t>
      </w:r>
    </w:p>
    <w:p>
      <w:pPr>
        <w:keepNext/>
        <w:jc w:val="center"/>
      </w:pPr>
      <w:r>
        <w:drawing>
          <wp:inline xmlns:a="http://schemas.openxmlformats.org/drawingml/2006/main" xmlns:pic="http://schemas.openxmlformats.org/drawingml/2006/picture">
            <wp:extent cx="6172200" cy="4286250"/>
            <wp:docPr id="18" name="Picture 18"/>
            <wp:cNvGraphicFramePr>
              <a:graphicFrameLocks noChangeAspect="1"/>
            </wp:cNvGraphicFramePr>
            <a:graphic>
              <a:graphicData uri="http://schemas.openxmlformats.org/drawingml/2006/picture">
                <pic:pic>
                  <pic:nvPicPr>
                    <pic:cNvPr id="0" name="18-ingreso-mercaderia.png"/>
                    <pic:cNvPicPr/>
                  </pic:nvPicPr>
                  <pic:blipFill>
                    <a:blip r:embed="rId28"/>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vacío de ingreso de mercadería.</w:t>
      </w:r>
    </w:p>
    <w:p>
      <w:pPr>
        <w:pStyle w:val="ListBullet"/>
        <w:spacing w:after="60"/>
      </w:pPr>
      <w:r>
        <w:rPr>
          <w:rFonts w:ascii="Calibri" w:hAnsi="Calibri"/>
        </w:rPr>
        <w:t>Use un SKU único y precios no negativos.</w:t>
      </w:r>
    </w:p>
    <w:p>
      <w:pPr>
        <w:pStyle w:val="ListBullet"/>
        <w:spacing w:after="60"/>
      </w:pPr>
      <w:r>
        <w:rPr>
          <w:rFonts w:ascii="Calibri" w:hAnsi="Calibri"/>
        </w:rPr>
        <w:t>Registre stock por sucursal y umbral crítico.</w:t>
      </w:r>
    </w:p>
    <w:p>
      <w:pPr>
        <w:pStyle w:val="ListBullet"/>
        <w:spacing w:after="60"/>
      </w:pPr>
      <w:r>
        <w:rPr>
          <w:rFonts w:ascii="Calibri" w:hAnsi="Calibri"/>
        </w:rPr>
        <w:t>Respalde ingresos con proveedor, remito o factura.</w:t>
      </w:r>
    </w:p>
    <w:p>
      <w:pPr>
        <w:pStyle w:val="ListBullet"/>
        <w:spacing w:after="60"/>
      </w:pPr>
      <w:r>
        <w:rPr>
          <w:rFonts w:ascii="Calibri" w:hAnsi="Calibri"/>
        </w:rPr>
        <w:t>Para egresos o transferencias, indique motivo, origen, destino y cantidad; nunca transfiera más stock que el disponible.</w:t>
      </w:r>
    </w:p>
    <w:p>
      <w:pPr>
        <w:pStyle w:val="Heading2"/>
      </w:pPr>
      <w:r>
        <w:t>Recetas multifocales y lentes de contacto</w:t>
      </w:r>
    </w:p>
    <w:p>
      <w:pPr>
        <w:keepNext/>
        <w:jc w:val="center"/>
      </w:pPr>
      <w:r>
        <w:drawing>
          <wp:inline xmlns:a="http://schemas.openxmlformats.org/drawingml/2006/main" xmlns:pic="http://schemas.openxmlformats.org/drawingml/2006/picture">
            <wp:extent cx="6172200" cy="4286250"/>
            <wp:docPr id="19" name="Picture 19"/>
            <wp:cNvGraphicFramePr>
              <a:graphicFrameLocks noChangeAspect="1"/>
            </wp:cNvGraphicFramePr>
            <a:graphic>
              <a:graphicData uri="http://schemas.openxmlformats.org/drawingml/2006/picture">
                <pic:pic>
                  <pic:nvPicPr>
                    <pic:cNvPr id="0" name="19-pedido-multifocal.png"/>
                    <pic:cNvPicPr/>
                  </pic:nvPicPr>
                  <pic:blipFill>
                    <a:blip r:embed="rId29"/>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real de Multifocales/Bifocales.</w:t>
      </w:r>
    </w:p>
    <w:p>
      <w:r>
        <w:rPr>
          <w:rFonts w:ascii="Calibri" w:hAnsi="Calibri"/>
        </w:rPr>
        <w:t>En multifocales, revise ESF, CIL y EJE de lejos, adiciones de OD/OI, DNP de lejos y cerca y altura. Confirme que el cristal admita el rango de la receta.</w:t>
      </w:r>
    </w:p>
    <w:p>
      <w:pPr>
        <w:keepNext/>
        <w:jc w:val="center"/>
      </w:pPr>
      <w:r>
        <w:drawing>
          <wp:inline xmlns:a="http://schemas.openxmlformats.org/drawingml/2006/main" xmlns:pic="http://schemas.openxmlformats.org/drawingml/2006/picture">
            <wp:extent cx="6172200" cy="4286250"/>
            <wp:docPr id="20" name="Picture 20"/>
            <wp:cNvGraphicFramePr>
              <a:graphicFrameLocks noChangeAspect="1"/>
            </wp:cNvGraphicFramePr>
            <a:graphic>
              <a:graphicData uri="http://schemas.openxmlformats.org/drawingml/2006/picture">
                <pic:pic>
                  <pic:nvPicPr>
                    <pic:cNvPr id="0" name="20-lentes-contacto.png"/>
                    <pic:cNvPicPr/>
                  </pic:nvPicPr>
                  <pic:blipFill>
                    <a:blip r:embed="rId30"/>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real de Lentes de Contacto.</w:t>
      </w:r>
    </w:p>
    <w:p>
      <w:r>
        <w:rPr>
          <w:rFonts w:ascii="Calibri" w:hAnsi="Calibri"/>
        </w:rPr>
        <w:t>En lentes de contacto cargue por ojo ESF, curvatura BC, diámetro DIA y color, además de marca y frecuencia cuando corresponda. No sustituya medidas faltantes por valores típicos.</w:t>
      </w:r>
    </w:p>
    <w:p>
      <w:pPr>
        <w:pStyle w:val="Heading2"/>
      </w:pPr>
      <w:r>
        <w:t>Caja: egresos, conciliación y anulaciones</w:t>
      </w:r>
    </w:p>
    <w:p>
      <w:pPr>
        <w:keepNext/>
        <w:jc w:val="center"/>
      </w:pPr>
      <w:r>
        <w:drawing>
          <wp:inline xmlns:a="http://schemas.openxmlformats.org/drawingml/2006/main" xmlns:pic="http://schemas.openxmlformats.org/drawingml/2006/picture">
            <wp:extent cx="6172200" cy="4286250"/>
            <wp:docPr id="21" name="Picture 21"/>
            <wp:cNvGraphicFramePr>
              <a:graphicFrameLocks noChangeAspect="1"/>
            </wp:cNvGraphicFramePr>
            <a:graphic>
              <a:graphicData uri="http://schemas.openxmlformats.org/drawingml/2006/picture">
                <pic:pic>
                  <pic:nvPicPr>
                    <pic:cNvPr id="0" name="21-egreso-caja.png"/>
                    <pic:cNvPicPr/>
                  </pic:nvPicPr>
                  <pic:blipFill>
                    <a:blip r:embed="rId31"/>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Formulario de registro de egreso.</w:t>
      </w:r>
    </w:p>
    <w:p>
      <w:r>
        <w:rPr>
          <w:rFonts w:ascii="Calibri" w:hAnsi="Calibri"/>
        </w:rPr>
        <w:t>Seleccione concepto, caja, monto, fecha, categoría y medio de pago. Use Orden de Pago para proveedores cuando corresponda. No borre movimientos para corregirlos: aplique el procedimiento autorizado de anulación.</w:t>
      </w:r>
    </w:p>
    <w:p>
      <w:pPr>
        <w:keepNext/>
        <w:jc w:val="center"/>
      </w:pPr>
      <w:r>
        <w:drawing>
          <wp:inline xmlns:a="http://schemas.openxmlformats.org/drawingml/2006/main" xmlns:pic="http://schemas.openxmlformats.org/drawingml/2006/picture">
            <wp:extent cx="6172200" cy="4286250"/>
            <wp:docPr id="22" name="Picture 22"/>
            <wp:cNvGraphicFramePr>
              <a:graphicFrameLocks noChangeAspect="1"/>
            </wp:cNvGraphicFramePr>
            <a:graphic>
              <a:graphicData uri="http://schemas.openxmlformats.org/drawingml/2006/picture">
                <pic:pic>
                  <pic:nvPicPr>
                    <pic:cNvPr id="0" name="22-conciliacion.png"/>
                    <pic:cNvPicPr/>
                  </pic:nvPicPr>
                  <pic:blipFill>
                    <a:blip r:embed="rId32"/>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Pantalla de conciliación bancaria.</w:t>
      </w:r>
    </w:p>
    <w:p>
      <w:r>
        <w:rPr>
          <w:rFonts w:ascii="Calibri" w:hAnsi="Calibri"/>
        </w:rPr>
        <w:t>Compare cada movimiento con el extracto, registre gastos documentados y cierre únicamente cuando la diferencia esté explicada o sea cero.</w:t>
      </w:r>
    </w:p>
    <w:p>
      <w:pPr>
        <w:pStyle w:val="Heading2"/>
      </w:pPr>
      <w:r>
        <w:t>Configuraciones administrativas</w:t>
      </w:r>
    </w:p>
    <w:p>
      <w:pPr>
        <w:keepNext/>
        <w:jc w:val="center"/>
      </w:pPr>
      <w:r>
        <w:drawing>
          <wp:inline xmlns:a="http://schemas.openxmlformats.org/drawingml/2006/main" xmlns:pic="http://schemas.openxmlformats.org/drawingml/2006/picture">
            <wp:extent cx="6172200" cy="4286250"/>
            <wp:docPr id="23" name="Picture 23"/>
            <wp:cNvGraphicFramePr>
              <a:graphicFrameLocks noChangeAspect="1"/>
            </wp:cNvGraphicFramePr>
            <a:graphic>
              <a:graphicData uri="http://schemas.openxmlformats.org/drawingml/2006/picture">
                <pic:pic>
                  <pic:nvPicPr>
                    <pic:cNvPr id="0" name="23-ajustes-usuarios.png"/>
                    <pic:cNvPicPr/>
                  </pic:nvPicPr>
                  <pic:blipFill>
                    <a:blip r:embed="rId33"/>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Gestión de usuarios; filas sanitizadas.</w:t>
      </w:r>
    </w:p>
    <w:p>
      <w:pPr>
        <w:keepNext/>
        <w:jc w:val="center"/>
      </w:pPr>
      <w:r>
        <w:drawing>
          <wp:inline xmlns:a="http://schemas.openxmlformats.org/drawingml/2006/main" xmlns:pic="http://schemas.openxmlformats.org/drawingml/2006/picture">
            <wp:extent cx="6172200" cy="4286250"/>
            <wp:docPr id="24" name="Picture 24"/>
            <wp:cNvGraphicFramePr>
              <a:graphicFrameLocks noChangeAspect="1"/>
            </wp:cNvGraphicFramePr>
            <a:graphic>
              <a:graphicData uri="http://schemas.openxmlformats.org/drawingml/2006/picture">
                <pic:pic>
                  <pic:nvPicPr>
                    <pic:cNvPr id="0" name="24-ajustes-obras-sociales.png"/>
                    <pic:cNvPicPr/>
                  </pic:nvPicPr>
                  <pic:blipFill>
                    <a:blip r:embed="rId34"/>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Configuración de obras sociales.</w:t>
      </w:r>
    </w:p>
    <w:p>
      <w:pPr>
        <w:keepNext/>
        <w:jc w:val="center"/>
      </w:pPr>
      <w:r>
        <w:drawing>
          <wp:inline xmlns:a="http://schemas.openxmlformats.org/drawingml/2006/main" xmlns:pic="http://schemas.openxmlformats.org/drawingml/2006/picture">
            <wp:extent cx="6172200" cy="4286250"/>
            <wp:docPr id="25" name="Picture 25"/>
            <wp:cNvGraphicFramePr>
              <a:graphicFrameLocks noChangeAspect="1"/>
            </wp:cNvGraphicFramePr>
            <a:graphic>
              <a:graphicData uri="http://schemas.openxmlformats.org/drawingml/2006/picture">
                <pic:pic>
                  <pic:nvPicPr>
                    <pic:cNvPr id="0" name="25-ajustes-bancos.png"/>
                    <pic:cNvPicPr/>
                  </pic:nvPicPr>
                  <pic:blipFill>
                    <a:blip r:embed="rId35"/>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Configuración de bancos y entidades.</w:t>
      </w:r>
    </w:p>
    <w:p>
      <w:pPr>
        <w:keepNext/>
        <w:jc w:val="center"/>
      </w:pPr>
      <w:r>
        <w:drawing>
          <wp:inline xmlns:a="http://schemas.openxmlformats.org/drawingml/2006/main" xmlns:pic="http://schemas.openxmlformats.org/drawingml/2006/picture">
            <wp:extent cx="6172200" cy="4286250"/>
            <wp:docPr id="26" name="Picture 26"/>
            <wp:cNvGraphicFramePr>
              <a:graphicFrameLocks noChangeAspect="1"/>
            </wp:cNvGraphicFramePr>
            <a:graphic>
              <a:graphicData uri="http://schemas.openxmlformats.org/drawingml/2006/picture">
                <pic:pic>
                  <pic:nvPicPr>
                    <pic:cNvPr id="0" name="26-ajustes-cristales.png"/>
                    <pic:cNvPicPr/>
                  </pic:nvPicPr>
                  <pic:blipFill>
                    <a:blip r:embed="rId36"/>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Catálogo y rangos de cristales; filas sanitizadas.</w:t>
      </w:r>
    </w:p>
    <w:p>
      <w:pPr>
        <w:keepNext/>
        <w:jc w:val="center"/>
      </w:pPr>
      <w:r>
        <w:drawing>
          <wp:inline xmlns:a="http://schemas.openxmlformats.org/drawingml/2006/main" xmlns:pic="http://schemas.openxmlformats.org/drawingml/2006/picture">
            <wp:extent cx="6172200" cy="4286250"/>
            <wp:docPr id="27" name="Picture 27"/>
            <wp:cNvGraphicFramePr>
              <a:graphicFrameLocks noChangeAspect="1"/>
            </wp:cNvGraphicFramePr>
            <a:graphic>
              <a:graphicData uri="http://schemas.openxmlformats.org/drawingml/2006/picture">
                <pic:pic>
                  <pic:nvPicPr>
                    <pic:cNvPr id="0" name="27-audit-log.png"/>
                    <pic:cNvPicPr/>
                  </pic:nvPicPr>
                  <pic:blipFill>
                    <a:blip r:embed="rId37"/>
                    <a:stretch>
                      <a:fillRect/>
                    </a:stretch>
                  </pic:blipFill>
                  <pic:spPr>
                    <a:xfrm>
                      <a:off x="0" y="0"/>
                      <a:ext cx="6172200" cy="4286250"/>
                    </a:xfrm>
                    <a:prstGeom prst="rect"/>
                  </pic:spPr>
                </pic:pic>
              </a:graphicData>
            </a:graphic>
          </wp:inline>
        </w:drawing>
      </w:r>
    </w:p>
    <w:p>
      <w:pPr>
        <w:spacing w:after="160"/>
        <w:jc w:val="center"/>
      </w:pPr>
      <w:r>
        <w:rPr>
          <w:rFonts w:ascii="Calibri" w:hAnsi="Calibri"/>
          <w:b w:val="0"/>
          <w:color w:val="64748B"/>
          <w:sz w:val="17"/>
        </w:rPr>
        <w:t>Registro de auditoría; eventos sanitizados.</w:t>
      </w:r>
    </w:p>
    <w:p>
      <w:pPr>
        <w:pStyle w:val="ListBullet"/>
        <w:spacing w:after="60"/>
      </w:pPr>
      <w:r>
        <w:rPr>
          <w:rFonts w:ascii="Calibri" w:hAnsi="Calibri"/>
        </w:rPr>
        <w:t>Otorgue a cada usuario solo los permisos necesarios.</w:t>
      </w:r>
    </w:p>
    <w:p>
      <w:pPr>
        <w:pStyle w:val="ListBullet"/>
        <w:spacing w:after="60"/>
      </w:pPr>
      <w:r>
        <w:rPr>
          <w:rFonts w:ascii="Calibri" w:hAnsi="Calibri"/>
        </w:rPr>
        <w:t>Revise coberturas antes de aplicarlas a pedidos.</w:t>
      </w:r>
    </w:p>
    <w:p>
      <w:pPr>
        <w:pStyle w:val="ListBullet"/>
        <w:spacing w:after="60"/>
      </w:pPr>
      <w:r>
        <w:rPr>
          <w:rFonts w:ascii="Calibri" w:hAnsi="Calibri"/>
        </w:rPr>
        <w:t>Mantenga bancos y cajas digitales asociados a la sucursal correcta.</w:t>
      </w:r>
    </w:p>
    <w:p>
      <w:pPr>
        <w:pStyle w:val="ListBullet"/>
        <w:spacing w:after="60"/>
      </w:pPr>
      <w:r>
        <w:rPr>
          <w:rFonts w:ascii="Calibri" w:hAnsi="Calibri"/>
        </w:rPr>
        <w:t>No amplíe rangos de cristales sin confirmación técnica.</w:t>
      </w:r>
    </w:p>
    <w:p>
      <w:pPr>
        <w:pStyle w:val="ListBullet"/>
        <w:spacing w:after="60"/>
      </w:pPr>
      <w:r>
        <w:rPr>
          <w:rFonts w:ascii="Calibri" w:hAnsi="Calibri"/>
        </w:rPr>
        <w:t>Use Audit Log únicamente para consulta y trazabilidad.</w:t>
      </w:r>
    </w:p>
    <w:p>
      <w:pPr>
        <w:pStyle w:val="Heading2"/>
      </w:pPr>
      <w:r>
        <w:t>Seguridad y validaciones</w:t>
      </w:r>
    </w:p>
    <w:p>
      <w:pPr>
        <w:pStyle w:val="ListBullet"/>
        <w:spacing w:after="60"/>
      </w:pPr>
      <w:r>
        <w:rPr>
          <w:rFonts w:ascii="Calibri" w:hAnsi="Calibri"/>
        </w:rPr>
        <w:t>Cierre sesión desde el perfil y no comparta cuentas.</w:t>
      </w:r>
    </w:p>
    <w:p>
      <w:pPr>
        <w:pStyle w:val="ListBullet"/>
        <w:spacing w:after="60"/>
      </w:pPr>
      <w:r>
        <w:rPr>
          <w:rFonts w:ascii="Calibri" w:hAnsi="Calibri"/>
        </w:rPr>
        <w:t>No ejecute casos QA ni cargue datos ficticios en producción.</w:t>
      </w:r>
    </w:p>
    <w:p>
      <w:pPr>
        <w:pStyle w:val="ListBullet"/>
        <w:spacing w:after="60"/>
      </w:pPr>
      <w:r>
        <w:rPr>
          <w:rFonts w:ascii="Calibri" w:hAnsi="Calibri"/>
        </w:rPr>
        <w:t>No ignore alertas de DNI duplicado, stock insuficiente o receta fuera de rango.</w:t>
      </w:r>
    </w:p>
    <w:p>
      <w:pPr>
        <w:pStyle w:val="ListBullet"/>
        <w:spacing w:after="60"/>
      </w:pPr>
      <w:r>
        <w:rPr>
          <w:rFonts w:ascii="Calibri" w:hAnsi="Calibri"/>
        </w:rPr>
        <w:t>Oculte datos clínicos, personales, bancarios y fiscales en capturas.</w:t>
      </w:r>
    </w:p>
    <w:p>
      <w:pPr>
        <w:pStyle w:val="ListBullet"/>
        <w:spacing w:after="60"/>
      </w:pPr>
      <w:r>
        <w:rPr>
          <w:rFonts w:ascii="Calibri" w:hAnsi="Calibri"/>
        </w:rPr>
        <w:t>En pantallas pequeñas, confirme que puede ver todo el formulario y el botón de acción antes de cargar.</w:t>
      </w:r>
    </w:p>
    <w:p>
      <w:pPr>
        <w:pStyle w:val="Heading1"/>
      </w:pPr>
      <w:r>
        <w:t>Lista diaria de verificación</w:t>
      </w:r>
    </w:p>
    <w:p>
      <w:pPr>
        <w:pStyle w:val="ListBullet"/>
        <w:spacing w:after="60"/>
      </w:pPr>
      <w:r>
        <w:rPr>
          <w:rFonts w:ascii="Calibri" w:hAnsi="Calibri"/>
        </w:rPr>
        <w:t>Confirmar caja y sucursal antes de comenzar.</w:t>
      </w:r>
    </w:p>
    <w:p>
      <w:pPr>
        <w:pStyle w:val="ListBullet"/>
        <w:spacing w:after="60"/>
      </w:pPr>
      <w:r>
        <w:rPr>
          <w:rFonts w:ascii="Calibri" w:hAnsi="Calibri"/>
        </w:rPr>
        <w:t>Registrar ventas, señas, cobros y egresos en el momento.</w:t>
      </w:r>
    </w:p>
    <w:p>
      <w:pPr>
        <w:pStyle w:val="ListBullet"/>
        <w:spacing w:after="60"/>
      </w:pPr>
      <w:r>
        <w:rPr>
          <w:rFonts w:ascii="Calibri" w:hAnsi="Calibri"/>
        </w:rPr>
        <w:t>Actualizar los estados de pedidos en taller y para retirar.</w:t>
      </w:r>
    </w:p>
    <w:p>
      <w:pPr>
        <w:pStyle w:val="ListBullet"/>
        <w:spacing w:after="60"/>
      </w:pPr>
      <w:r>
        <w:rPr>
          <w:rFonts w:ascii="Calibri" w:hAnsi="Calibri"/>
        </w:rPr>
        <w:t>Controlar alertas de stock y facturas próximas a vencer.</w:t>
      </w:r>
    </w:p>
    <w:p>
      <w:pPr>
        <w:pStyle w:val="ListBullet"/>
        <w:spacing w:after="60"/>
      </w:pPr>
      <w:r>
        <w:rPr>
          <w:rFonts w:ascii="Calibri" w:hAnsi="Calibri"/>
        </w:rPr>
        <w:t>Realizar el cierre de caja y revisar diferencias al finalizar la jornada.</w:t>
      </w:r>
    </w:p>
    <w:p>
      <w:pPr>
        <w:pStyle w:val="Heading1"/>
      </w:pPr>
      <w:r>
        <w:t>9. Nuevas disposiciones: obras sociales y cajas conciliables</w:t>
      </w:r>
    </w:p>
    <w:p>
      <w:pPr>
        <w:pStyle w:val="Heading2"/>
      </w:pPr>
      <w:r>
        <w:t>Alta y configuración de una obra social</w:t>
      </w:r>
    </w:p>
    <w:p>
      <w:r>
        <w:rPr>
          <w:rFonts w:ascii="Calibri" w:hAnsi="Calibri"/>
        </w:rPr>
        <w:t>Las obras sociales pueden crearse desde la ficha de un cliente o, para una configuración completa de coberturas, desde Ajustes. La segunda alternativa es la recomendada para que los importes se apliquen de forma consistente en los pedidos.</w:t>
      </w:r>
    </w:p>
    <w:p>
      <w:pPr>
        <w:keepNext/>
        <w:jc w:val="center"/>
      </w:pPr>
      <w:r>
        <w:drawing>
          <wp:inline xmlns:a="http://schemas.openxmlformats.org/drawingml/2006/main" xmlns:pic="http://schemas.openxmlformats.org/drawingml/2006/picture">
            <wp:extent cx="6172200" cy="3471862"/>
            <wp:docPr id="28" name="Picture 28"/>
            <wp:cNvGraphicFramePr>
              <a:graphicFrameLocks noChangeAspect="1"/>
            </wp:cNvGraphicFramePr>
            <a:graphic>
              <a:graphicData uri="http://schemas.openxmlformats.org/drawingml/2006/picture">
                <pic:pic>
                  <pic:nvPicPr>
                    <pic:cNvPr id="0" name="28_obras_sociales_verificada.png"/>
                    <pic:cNvPicPr/>
                  </pic:nvPicPr>
                  <pic:blipFill>
                    <a:blip r:embed="rId38"/>
                    <a:stretch>
                      <a:fillRect/>
                    </a:stretch>
                  </pic:blipFill>
                  <pic:spPr>
                    <a:xfrm>
                      <a:off x="0" y="0"/>
                      <a:ext cx="6172200" cy="3471862"/>
                    </a:xfrm>
                    <a:prstGeom prst="rect"/>
                  </pic:spPr>
                </pic:pic>
              </a:graphicData>
            </a:graphic>
          </wp:inline>
        </w:drawing>
      </w:r>
    </w:p>
    <w:p>
      <w:pPr>
        <w:spacing w:after="160"/>
        <w:jc w:val="center"/>
      </w:pPr>
      <w:r>
        <w:rPr>
          <w:rFonts w:ascii="Calibri" w:hAnsi="Calibri"/>
          <w:b w:val="0"/>
          <w:color w:val="64748B"/>
          <w:sz w:val="17"/>
        </w:rPr>
        <w:t>Figura 1. Directorio de Obras Sociales y Coberturas en Ajustes.</w:t>
      </w:r>
    </w:p>
    <w:p>
      <w:pPr>
        <w:numPr>
          <w:ilvl w:val="0"/>
          <w:numId w:val="19"/>
        </w:numPr>
        <w:spacing w:after="80"/>
      </w:pPr>
      <w:r>
        <w:rPr>
          <w:rFonts w:ascii="Calibri" w:hAnsi="Calibri"/>
        </w:rPr>
        <w:t>Abra Configuración y seleccione la pestaña Obras Sociales.</w:t>
      </w:r>
    </w:p>
    <w:p>
      <w:pPr>
        <w:numPr>
          <w:ilvl w:val="0"/>
          <w:numId w:val="19"/>
        </w:numPr>
        <w:spacing w:after="80"/>
      </w:pPr>
      <w:r>
        <w:rPr>
          <w:rFonts w:ascii="Calibri" w:hAnsi="Calibri"/>
        </w:rPr>
        <w:t>Seleccione Nueva Obra Social.</w:t>
      </w:r>
    </w:p>
    <w:p>
      <w:pPr>
        <w:numPr>
          <w:ilvl w:val="0"/>
          <w:numId w:val="19"/>
        </w:numPr>
        <w:spacing w:after="80"/>
      </w:pPr>
      <w:r>
        <w:rPr>
          <w:rFonts w:ascii="Calibri" w:hAnsi="Calibri"/>
        </w:rPr>
        <w:t>Ingrese el nombre de la cobertura. Use una denominación única y clara, por ejemplo, OSDE o Swiss Medical.</w:t>
      </w:r>
    </w:p>
    <w:p>
      <w:pPr>
        <w:numPr>
          <w:ilvl w:val="0"/>
          <w:numId w:val="19"/>
        </w:numPr>
        <w:spacing w:after="80"/>
      </w:pPr>
      <w:r>
        <w:rPr>
          <w:rFonts w:ascii="Calibri" w:hAnsi="Calibri"/>
        </w:rPr>
        <w:t>En Coberturas por Categoría, pulse Añadir Regla de Cobertura.</w:t>
      </w:r>
    </w:p>
    <w:p>
      <w:pPr>
        <w:numPr>
          <w:ilvl w:val="0"/>
          <w:numId w:val="19"/>
        </w:numPr>
        <w:spacing w:after="80"/>
      </w:pPr>
      <w:r>
        <w:rPr>
          <w:rFonts w:ascii="Calibri" w:hAnsi="Calibri"/>
        </w:rPr>
        <w:t>Seleccione la categoría de producto y cargue el importe de cobertura o reintegro. Repita la operación para cada categoría que corresponda.</w:t>
      </w:r>
    </w:p>
    <w:p>
      <w:pPr>
        <w:numPr>
          <w:ilvl w:val="0"/>
          <w:numId w:val="19"/>
        </w:numPr>
        <w:spacing w:after="80"/>
      </w:pPr>
      <w:r>
        <w:rPr>
          <w:rFonts w:ascii="Calibri" w:hAnsi="Calibri"/>
        </w:rPr>
        <w:t>Seleccione Guardar. La obra social quedará disponible en la ficha de clientes y en la carga de pedidos.</w:t>
      </w:r>
    </w:p>
    <w:p>
      <w:pPr>
        <w:keepNext/>
        <w:jc w:val="center"/>
      </w:pPr>
      <w:r>
        <w:drawing>
          <wp:inline xmlns:a="http://schemas.openxmlformats.org/drawingml/2006/main" xmlns:pic="http://schemas.openxmlformats.org/drawingml/2006/picture">
            <wp:extent cx="6172200" cy="3471862"/>
            <wp:docPr id="29" name="Picture 29"/>
            <wp:cNvGraphicFramePr>
              <a:graphicFrameLocks noChangeAspect="1"/>
            </wp:cNvGraphicFramePr>
            <a:graphic>
              <a:graphicData uri="http://schemas.openxmlformats.org/drawingml/2006/picture">
                <pic:pic>
                  <pic:nvPicPr>
                    <pic:cNvPr id="0" name="29_nueva_obra_social_verificada.png"/>
                    <pic:cNvPicPr/>
                  </pic:nvPicPr>
                  <pic:blipFill>
                    <a:blip r:embed="rId39"/>
                    <a:stretch>
                      <a:fillRect/>
                    </a:stretch>
                  </pic:blipFill>
                  <pic:spPr>
                    <a:xfrm>
                      <a:off x="0" y="0"/>
                      <a:ext cx="6172200" cy="3471862"/>
                    </a:xfrm>
                    <a:prstGeom prst="rect"/>
                  </pic:spPr>
                </pic:pic>
              </a:graphicData>
            </a:graphic>
          </wp:inline>
        </w:drawing>
      </w:r>
    </w:p>
    <w:p>
      <w:pPr>
        <w:spacing w:after="160"/>
        <w:jc w:val="center"/>
      </w:pPr>
      <w:r>
        <w:rPr>
          <w:rFonts w:ascii="Calibri" w:hAnsi="Calibri"/>
          <w:b w:val="0"/>
          <w:color w:val="64748B"/>
          <w:sz w:val="17"/>
        </w:rPr>
        <w:t>Figura 2. Formulario para crear una obra social y definir sus reglas de cobertura.</w:t>
      </w:r>
    </w:p>
    <w:p>
      <w:pPr>
        <w:pStyle w:val="Heading2"/>
      </w:pPr>
      <w:r>
        <w:t>Asignar una obra social a un cliente</w:t>
      </w:r>
    </w:p>
    <w:p>
      <w:pPr>
        <w:numPr>
          <w:ilvl w:val="0"/>
          <w:numId w:val="20"/>
        </w:numPr>
        <w:spacing w:after="80"/>
      </w:pPr>
      <w:r>
        <w:rPr>
          <w:rFonts w:ascii="Calibri" w:hAnsi="Calibri"/>
        </w:rPr>
        <w:t>Abra la ficha del cliente o cree un cliente nuevo.</w:t>
      </w:r>
    </w:p>
    <w:p>
      <w:pPr>
        <w:numPr>
          <w:ilvl w:val="0"/>
          <w:numId w:val="20"/>
        </w:numPr>
        <w:spacing w:after="80"/>
      </w:pPr>
      <w:r>
        <w:rPr>
          <w:rFonts w:ascii="Calibri" w:hAnsi="Calibri"/>
        </w:rPr>
        <w:t>En Obra Social / Seguro Médico, elija la cobertura existente.</w:t>
      </w:r>
    </w:p>
    <w:p>
      <w:pPr>
        <w:numPr>
          <w:ilvl w:val="0"/>
          <w:numId w:val="20"/>
        </w:numPr>
        <w:spacing w:after="80"/>
      </w:pPr>
      <w:r>
        <w:rPr>
          <w:rFonts w:ascii="Calibri" w:hAnsi="Calibri"/>
        </w:rPr>
        <w:t>Si necesita una cobertura simple no configurada, use Nueva Obra Social e ingrese su nombre. El sistema evita duplicados.</w:t>
      </w:r>
    </w:p>
    <w:p>
      <w:pPr>
        <w:numPr>
          <w:ilvl w:val="0"/>
          <w:numId w:val="20"/>
        </w:numPr>
        <w:spacing w:after="80"/>
      </w:pPr>
      <w:r>
        <w:rPr>
          <w:rFonts w:ascii="Calibri" w:hAnsi="Calibri"/>
        </w:rPr>
        <w:t>Guarde la ficha y confirme la cobertura elegida antes de generar el pedido.</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Control: </w:t>
            </w:r>
            <w:r>
              <w:rPr>
                <w:rFonts w:ascii="Calibri" w:hAnsi="Calibri"/>
              </w:rPr>
              <w:t>para aplicar reintegros por categoría en los pedidos, la obra social debe estar configurada en Ajustes con sus reglas de cobertura. Un nombre agregado desde Clientes sin reglas no incorpora importes automáticamente.</w:t>
            </w:r>
          </w:p>
        </w:tc>
      </w:tr>
    </w:tbl>
    <w:p>
      <w:pPr>
        <w:spacing w:after="20"/>
      </w:pPr>
    </w:p>
    <w:p>
      <w:pPr>
        <w:pStyle w:val="Heading2"/>
      </w:pPr>
      <w:r>
        <w:t>Crear cajas y cuentas que puedan conciliarse</w:t>
      </w:r>
    </w:p>
    <w:p>
      <w:r>
        <w:rPr>
          <w:rFonts w:ascii="Calibri" w:hAnsi="Calibri"/>
        </w:rPr>
        <w:t>La conciliación bancaria está disponible únicamente para cajas de tipo Banco o Digital. Las cajas de Efectivo se utilizan para arqueos físicos y no aparecen en el selector de conciliación.</w:t>
      </w:r>
    </w:p>
    <w:p>
      <w:pPr>
        <w:numPr>
          <w:ilvl w:val="0"/>
          <w:numId w:val="21"/>
        </w:numPr>
        <w:spacing w:after="80"/>
      </w:pPr>
      <w:r>
        <w:rPr>
          <w:rFonts w:ascii="Calibri" w:hAnsi="Calibri"/>
        </w:rPr>
        <w:t>Abra Caja y Finanzas y elija la opción para crear una Nueva Caja.</w:t>
      </w:r>
    </w:p>
    <w:p>
      <w:pPr>
        <w:numPr>
          <w:ilvl w:val="0"/>
          <w:numId w:val="21"/>
        </w:numPr>
        <w:spacing w:after="80"/>
      </w:pPr>
      <w:r>
        <w:rPr>
          <w:rFonts w:ascii="Calibri" w:hAnsi="Calibri"/>
        </w:rPr>
        <w:t>Indique un nombre identificable, por ejemplo, Banco Galicia - Cuenta Corriente o Mercado Pago.</w:t>
      </w:r>
    </w:p>
    <w:p>
      <w:pPr>
        <w:numPr>
          <w:ilvl w:val="0"/>
          <w:numId w:val="21"/>
        </w:numPr>
        <w:spacing w:after="80"/>
      </w:pPr>
      <w:r>
        <w:rPr>
          <w:rFonts w:ascii="Calibri" w:hAnsi="Calibri"/>
        </w:rPr>
        <w:t>Seleccione el tipo correcto: Banco para cuentas bancarias, Digital para billeteras o plataformas digitales, y Efectivo solo para cajas físicas.</w:t>
      </w:r>
    </w:p>
    <w:p>
      <w:pPr>
        <w:numPr>
          <w:ilvl w:val="0"/>
          <w:numId w:val="21"/>
        </w:numPr>
        <w:spacing w:after="80"/>
      </w:pPr>
      <w:r>
        <w:rPr>
          <w:rFonts w:ascii="Calibri" w:hAnsi="Calibri"/>
        </w:rPr>
        <w:t>Ingrese el saldo inicial validado contra el extracto o saldo real de apertura.</w:t>
      </w:r>
    </w:p>
    <w:p>
      <w:pPr>
        <w:numPr>
          <w:ilvl w:val="0"/>
          <w:numId w:val="21"/>
        </w:numPr>
        <w:spacing w:after="80"/>
      </w:pPr>
      <w:r>
        <w:rPr>
          <w:rFonts w:ascii="Calibri" w:hAnsi="Calibri"/>
        </w:rPr>
        <w:t>Confirme Crear Caja.</w:t>
      </w:r>
    </w:p>
    <w:p>
      <w:pPr>
        <w:numPr>
          <w:ilvl w:val="0"/>
          <w:numId w:val="21"/>
        </w:numPr>
        <w:spacing w:after="80"/>
      </w:pPr>
      <w:r>
        <w:rPr>
          <w:rFonts w:ascii="Calibri" w:hAnsi="Calibri"/>
        </w:rPr>
        <w:t>Registre los ingresos, egresos y transferencias de esa cuenta siempre usando la caja creada.</w:t>
      </w:r>
    </w:p>
    <w:p>
      <w:pPr>
        <w:pStyle w:val="Heading2"/>
      </w:pPr>
      <w:r>
        <w:t>Validación previa a la conciliación</w:t>
      </w:r>
    </w:p>
    <w:p>
      <w:pPr>
        <w:pStyle w:val="ListBullet"/>
        <w:spacing w:after="60"/>
      </w:pPr>
      <w:r>
        <w:rPr>
          <w:rFonts w:ascii="Calibri" w:hAnsi="Calibri"/>
        </w:rPr>
        <w:t>Use un nombre único para cada cuenta y no mezcle movimientos de bancos distintos.</w:t>
      </w:r>
    </w:p>
    <w:p>
      <w:pPr>
        <w:pStyle w:val="ListBullet"/>
        <w:spacing w:after="60"/>
      </w:pPr>
      <w:r>
        <w:rPr>
          <w:rFonts w:ascii="Calibri" w:hAnsi="Calibri"/>
        </w:rPr>
        <w:t>Compruebe que el saldo inicial coincida con el último saldo confirmado o con el extracto de apertura.</w:t>
      </w:r>
    </w:p>
    <w:p>
      <w:pPr>
        <w:pStyle w:val="ListBullet"/>
        <w:spacing w:after="60"/>
      </w:pPr>
      <w:r>
        <w:rPr>
          <w:rFonts w:ascii="Calibri" w:hAnsi="Calibri"/>
        </w:rPr>
        <w:t>Revise que cada movimiento tenga fecha, importe, concepto y caja de impacto correctos.</w:t>
      </w:r>
    </w:p>
    <w:p>
      <w:pPr>
        <w:pStyle w:val="ListBullet"/>
        <w:spacing w:after="60"/>
      </w:pPr>
      <w:r>
        <w:rPr>
          <w:rFonts w:ascii="Calibri" w:hAnsi="Calibri"/>
        </w:rPr>
        <w:t>Antes de conciliar, corrija movimientos duplicados o cargados en una caja equivocada.</w:t>
      </w:r>
    </w:p>
    <w:p>
      <w:pPr>
        <w:pStyle w:val="ListBullet"/>
        <w:spacing w:after="60"/>
      </w:pPr>
      <w:r>
        <w:rPr>
          <w:rFonts w:ascii="Calibri" w:hAnsi="Calibri"/>
        </w:rPr>
        <w:t>No use una caja de Efectivo para movimientos que deban compararse con un extracto bancario o digital.</w:t>
      </w:r>
    </w:p>
    <w:p>
      <w:pPr>
        <w:pStyle w:val="Heading2"/>
      </w:pPr>
      <w:r>
        <w:t>Conciliar una caja Banco o Digital</w:t>
      </w:r>
    </w:p>
    <w:p>
      <w:pPr>
        <w:numPr>
          <w:ilvl w:val="0"/>
          <w:numId w:val="22"/>
        </w:numPr>
        <w:spacing w:after="80"/>
      </w:pPr>
      <w:r>
        <w:rPr>
          <w:rFonts w:ascii="Calibri" w:hAnsi="Calibri"/>
        </w:rPr>
        <w:t>Abra Caja y Finanzas y vaya a la pestaña Conciliación.</w:t>
      </w:r>
    </w:p>
    <w:p>
      <w:pPr>
        <w:numPr>
          <w:ilvl w:val="0"/>
          <w:numId w:val="22"/>
        </w:numPr>
        <w:spacing w:after="80"/>
      </w:pPr>
      <w:r>
        <w:rPr>
          <w:rFonts w:ascii="Calibri" w:hAnsi="Calibri"/>
        </w:rPr>
        <w:t>En Seleccionar Banco/Cuenta, elija la caja Banco o Digital que desea verificar.</w:t>
      </w:r>
    </w:p>
    <w:p>
      <w:pPr>
        <w:numPr>
          <w:ilvl w:val="0"/>
          <w:numId w:val="22"/>
        </w:numPr>
        <w:spacing w:after="80"/>
      </w:pPr>
      <w:r>
        <w:rPr>
          <w:rFonts w:ascii="Calibri" w:hAnsi="Calibri"/>
        </w:rPr>
        <w:t>Defina Desde y Hasta según el período del extracto.</w:t>
      </w:r>
    </w:p>
    <w:p>
      <w:pPr>
        <w:numPr>
          <w:ilvl w:val="0"/>
          <w:numId w:val="22"/>
        </w:numPr>
        <w:spacing w:after="80"/>
      </w:pPr>
      <w:r>
        <w:rPr>
          <w:rFonts w:ascii="Calibri" w:hAnsi="Calibri"/>
        </w:rPr>
        <w:t>Ingrese el Cierre conciliación actual informado por el banco o plataforma y, si corresponde, los gastos bancarios.</w:t>
      </w:r>
    </w:p>
    <w:p>
      <w:pPr>
        <w:numPr>
          <w:ilvl w:val="0"/>
          <w:numId w:val="22"/>
        </w:numPr>
        <w:spacing w:after="80"/>
      </w:pPr>
      <w:r>
        <w:rPr>
          <w:rFonts w:ascii="Calibri" w:hAnsi="Calibri"/>
        </w:rPr>
        <w:t>Compare cada movimiento del listado con el extracto y selecciónelo para marcarlo como conciliado.</w:t>
      </w:r>
    </w:p>
    <w:p>
      <w:pPr>
        <w:numPr>
          <w:ilvl w:val="0"/>
          <w:numId w:val="22"/>
        </w:numPr>
        <w:spacing w:after="80"/>
      </w:pPr>
      <w:r>
        <w:rPr>
          <w:rFonts w:ascii="Calibri" w:hAnsi="Calibri"/>
        </w:rPr>
        <w:t>Revise el contador de ítems conciliados y la diferencia de cierres.</w:t>
      </w:r>
    </w:p>
    <w:p>
      <w:pPr>
        <w:numPr>
          <w:ilvl w:val="0"/>
          <w:numId w:val="22"/>
        </w:numPr>
        <w:spacing w:after="80"/>
      </w:pPr>
      <w:r>
        <w:rPr>
          <w:rFonts w:ascii="Calibri" w:hAnsi="Calibri"/>
        </w:rPr>
        <w:t>Cuando los datos estén revisados y la diferencia sea correcta, pulse Confirmar Conciliación para guardar el nuevo cierre de la cuenta.</w:t>
      </w:r>
    </w:p>
    <w:p>
      <w:pPr>
        <w:keepNext/>
        <w:jc w:val="center"/>
      </w:pPr>
      <w:r>
        <w:drawing>
          <wp:inline xmlns:a="http://schemas.openxmlformats.org/drawingml/2006/main" xmlns:pic="http://schemas.openxmlformats.org/drawingml/2006/picture">
            <wp:extent cx="6172200" cy="3471862"/>
            <wp:docPr id="30" name="Picture 30"/>
            <wp:cNvGraphicFramePr>
              <a:graphicFrameLocks noChangeAspect="1"/>
            </wp:cNvGraphicFramePr>
            <a:graphic>
              <a:graphicData uri="http://schemas.openxmlformats.org/drawingml/2006/picture">
                <pic:pic>
                  <pic:nvPicPr>
                    <pic:cNvPr id="0" name="30_conciliacion_verificada.png"/>
                    <pic:cNvPicPr/>
                  </pic:nvPicPr>
                  <pic:blipFill>
                    <a:blip r:embed="rId40"/>
                    <a:stretch>
                      <a:fillRect/>
                    </a:stretch>
                  </pic:blipFill>
                  <pic:spPr>
                    <a:xfrm>
                      <a:off x="0" y="0"/>
                      <a:ext cx="6172200" cy="3471862"/>
                    </a:xfrm>
                    <a:prstGeom prst="rect"/>
                  </pic:spPr>
                </pic:pic>
              </a:graphicData>
            </a:graphic>
          </wp:inline>
        </w:drawing>
      </w:r>
    </w:p>
    <w:p>
      <w:pPr>
        <w:spacing w:after="160"/>
        <w:jc w:val="center"/>
      </w:pPr>
      <w:r>
        <w:rPr>
          <w:rFonts w:ascii="Calibri" w:hAnsi="Calibri"/>
          <w:b w:val="0"/>
          <w:color w:val="64748B"/>
          <w:sz w:val="17"/>
        </w:rPr>
        <w:t>Figura 3. Configuración de conciliación: solo se muestran cuentas Banco y Digital.</w:t>
      </w:r>
    </w:p>
    <w:tbl>
      <w:tblPr>
        <w:tblW w:type="auto" w:w="0"/>
        <w:tblLayout w:type="fixed"/>
        <w:tblLook w:firstColumn="1" w:firstRow="1" w:lastColumn="0" w:lastRow="0" w:noHBand="0" w:noVBand="1" w:val="04A0"/>
      </w:tblPr>
      <w:tblGrid>
        <w:gridCol w:w="9792"/>
      </w:tblGrid>
      <w:tr>
        <w:tc>
          <w:tcPr>
            <w:tcW w:type="dxa" w:w="9792"/>
            <w:shd w:fill="EAF2F8"/>
          </w:tcPr>
          <w:p>
            <w:r>
              <w:rPr>
                <w:rFonts w:ascii="Calibri" w:hAnsi="Calibri"/>
                <w:b/>
                <w:color w:val="1E5285"/>
              </w:rPr>
              <w:t xml:space="preserve">Criterio de cierre: </w:t>
            </w:r>
            <w:r>
              <w:rPr>
                <w:rFonts w:ascii="Calibri" w:hAnsi="Calibri"/>
              </w:rPr>
              <w:t>si persiste una diferencia, no confirme la conciliación como finalizada. Revise el período, los gastos bancarios y los movimientos pendientes antes de continuar.</w:t>
            </w:r>
          </w:p>
        </w:tc>
      </w:tr>
    </w:tbl>
    <w:p>
      <w:pPr>
        <w:spacing w:after="20"/>
      </w:pP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Óptica Paracao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7"/>
      </w:rPr>
      <w:t>ÓPTICA PARACAO  ·  MANUAL DE USUARIO</w:t>
    </w:r>
  </w:p>
  <w:p>
    <w:r>
      <w:pict>
        <v:shape id="LynxConsultingWatermark" o:spid="_x0000_s2048" type="#_x0000_t75" style="position:absolute;margin-left:0;margin-top:0;width:440pt;height:220pt;z-index:-251654144;mso-position-horizontal:center;mso-position-vertical:center;mso-wrap-edited:f;" stroked="f">
          <v:imagedata r:id="rId1" o:title="LYNX Consulting"/>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720" w:hanging="360"/>
      </w:pPr>
    </w:lvl>
  </w:abstractNum>
  <w:num w:numId="10">
    <w:abstractNumId w:val="9"/>
  </w:num>
  <w:abstractNum w:abstractNumId="10">
    <w:lvl w:ilvl="0">
      <w:start w:val="1"/>
      <w:numFmt w:val="decimal"/>
      <w:lvlText w:val="%1."/>
      <w:lvlJc w:val="left"/>
      <w:pPr>
        <w:ind w:left="720" w:hanging="360"/>
      </w:pPr>
    </w:lvl>
  </w:abstractNum>
  <w:num w:numId="11">
    <w:abstractNumId w:val="10"/>
  </w:num>
  <w:abstractNum w:abstractNumId="11">
    <w:lvl w:ilvl="0">
      <w:start w:val="1"/>
      <w:numFmt w:val="decimal"/>
      <w:lvlText w:val="%1."/>
      <w:lvlJc w:val="left"/>
      <w:pPr>
        <w:ind w:left="720" w:hanging="360"/>
      </w:pPr>
    </w:lvl>
  </w:abstractNum>
  <w:num w:numId="12">
    <w:abstractNumId w:val="11"/>
  </w:num>
  <w:abstractNum w:abstractNumId="12">
    <w:lvl w:ilvl="0">
      <w:start w:val="1"/>
      <w:numFmt w:val="decimal"/>
      <w:lvlText w:val="%1."/>
      <w:lvlJc w:val="left"/>
      <w:pPr>
        <w:ind w:left="720" w:hanging="360"/>
      </w:pPr>
    </w:lvl>
  </w:abstractNum>
  <w:num w:numId="13">
    <w:abstractNumId w:val="12"/>
  </w:num>
  <w:abstractNum w:abstractNumId="13">
    <w:lvl w:ilvl="0">
      <w:start w:val="1"/>
      <w:numFmt w:val="decimal"/>
      <w:lvlText w:val="%1."/>
      <w:lvlJc w:val="left"/>
      <w:pPr>
        <w:ind w:left="720" w:hanging="360"/>
      </w:pPr>
    </w:lvl>
  </w:abstractNum>
  <w:num w:numId="14">
    <w:abstractNumId w:val="13"/>
  </w:num>
  <w:abstractNum w:abstractNumId="14">
    <w:lvl w:ilvl="0">
      <w:start w:val="1"/>
      <w:numFmt w:val="decimal"/>
      <w:lvlText w:val="%1."/>
      <w:lvlJc w:val="left"/>
      <w:pPr>
        <w:ind w:left="720" w:hanging="360"/>
      </w:pPr>
    </w:lvl>
  </w:abstractNum>
  <w:num w:numId="15">
    <w:abstractNumId w:val="14"/>
  </w:num>
  <w:abstractNum w:abstractNumId="15">
    <w:lvl w:ilvl="0">
      <w:start w:val="1"/>
      <w:numFmt w:val="decimal"/>
      <w:lvlText w:val="%1."/>
      <w:lvlJc w:val="left"/>
      <w:pPr>
        <w:ind w:left="720" w:hanging="360"/>
      </w:pPr>
    </w:lvl>
  </w:abstractNum>
  <w:num w:numId="16">
    <w:abstractNumId w:val="15"/>
  </w:num>
  <w:abstractNum w:abstractNumId="16">
    <w:lvl w:ilvl="0">
      <w:start w:val="1"/>
      <w:numFmt w:val="decimal"/>
      <w:lvlText w:val="%1."/>
      <w:lvlJc w:val="left"/>
      <w:pPr>
        <w:ind w:left="720" w:hanging="360"/>
      </w:pPr>
    </w:lvl>
  </w:abstractNum>
  <w:num w:numId="17">
    <w:abstractNumId w:val="16"/>
  </w:num>
  <w:abstractNum w:abstractNumId="17">
    <w:lvl w:ilvl="0">
      <w:start w:val="1"/>
      <w:numFmt w:val="decimal"/>
      <w:lvlText w:val="%1."/>
      <w:lvlJc w:val="left"/>
      <w:pPr>
        <w:ind w:left="720" w:hanging="360"/>
      </w:pPr>
    </w:lvl>
  </w:abstractNum>
  <w:num w:numId="18">
    <w:abstractNumId w:val="17"/>
  </w:num>
  <w:abstractNum w:abstractNumId="18">
    <w:lvl w:ilvl="0">
      <w:start w:val="1"/>
      <w:numFmt w:val="decimal"/>
      <w:lvlText w:val="%1."/>
      <w:lvlJc w:val="left"/>
      <w:pPr>
        <w:ind w:left="720" w:hanging="360"/>
      </w:pPr>
    </w:lvl>
  </w:abstractNum>
  <w:num w:numId="19">
    <w:abstractNumId w:val="18"/>
  </w:num>
  <w:abstractNum w:abstractNumId="19">
    <w:lvl w:ilvl="0">
      <w:start w:val="1"/>
      <w:numFmt w:val="decimal"/>
      <w:lvlText w:val="%1."/>
      <w:lvlJc w:val="left"/>
      <w:pPr>
        <w:ind w:left="720" w:hanging="360"/>
      </w:pPr>
    </w:lvl>
  </w:abstractNum>
  <w:num w:numId="20">
    <w:abstractNumId w:val="19"/>
  </w:num>
  <w:abstractNum w:abstractNumId="20">
    <w:lvl w:ilvl="0">
      <w:start w:val="1"/>
      <w:numFmt w:val="decimal"/>
      <w:lvlText w:val="%1."/>
      <w:lvlJc w:val="left"/>
      <w:pPr>
        <w:ind w:left="720" w:hanging="360"/>
      </w:pPr>
    </w:lvl>
  </w:abstractNum>
  <w:num w:numId="21">
    <w:abstractNumId w:val="20"/>
  </w:num>
  <w:abstractNum w:abstractNumId="21">
    <w:lvl w:ilvl="0">
      <w:start w:val="1"/>
      <w:numFmt w:val="decimal"/>
      <w:lvlText w:val="%1."/>
      <w:lvlJc w:val="left"/>
      <w:pPr>
        <w:ind w:left="720" w:hanging="360"/>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528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E528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_rels/header1.xml.rels><?xml version='1.0' encoding='UTF-8' standalone='yes'?>
<ns0:Relationships xmlns:ns0="http://schemas.openxmlformats.org/package/2006/relationships"><ns0:Relationship Id="rId1" Type="http://schemas.openxmlformats.org/officeDocument/2006/relationships/image" Target="media/lynx_marca_agua.png"/></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