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D624" w14:textId="4DD90DFB" w:rsidR="00AC607B" w:rsidRDefault="00E77C09" w:rsidP="00E77C09">
      <w:pPr>
        <w:pStyle w:val="a7"/>
        <w:rPr>
          <w:rFonts w:eastAsia="微软雅黑" w:hint="eastAsia"/>
          <w:sz w:val="44"/>
        </w:rPr>
      </w:pPr>
      <w:r w:rsidRPr="00E77C09">
        <w:rPr>
          <w:rFonts w:eastAsia="微软雅黑" w:hint="eastAsia"/>
          <w:sz w:val="44"/>
        </w:rPr>
        <w:t xml:space="preserve">USP </w:t>
      </w:r>
      <w:r w:rsidRPr="00E77C09">
        <w:rPr>
          <w:rFonts w:eastAsia="微软雅黑" w:hint="eastAsia"/>
          <w:sz w:val="44"/>
        </w:rPr>
        <w:t>通信重叠与量化需求分析报告</w:t>
      </w:r>
    </w:p>
    <w:p w14:paraId="1AFA2A68" w14:textId="5D91A9C9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1. </w:t>
      </w:r>
      <w:r w:rsidRPr="00E77C09">
        <w:rPr>
          <w:rFonts w:hint="eastAsia"/>
          <w:color w:val="00008B"/>
          <w:sz w:val="30"/>
        </w:rPr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E77C09" w:rsidRPr="00E77C09" w14:paraId="350D1F41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41504D53" w14:textId="67788932" w:rsidR="00E77C09" w:rsidRPr="00E77C09" w:rsidRDefault="00E77C09" w:rsidP="00E77C09">
            <w:pPr>
              <w:rPr>
                <w:b/>
                <w:sz w:val="18"/>
              </w:rPr>
            </w:pPr>
            <w:r w:rsidRPr="00E77C09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40B32E89" w14:textId="16343881" w:rsidR="00E77C09" w:rsidRPr="00E77C09" w:rsidRDefault="00E77C09" w:rsidP="00E77C09">
            <w:pPr>
              <w:rPr>
                <w:b/>
                <w:sz w:val="18"/>
              </w:rPr>
            </w:pPr>
            <w:r w:rsidRPr="00E77C09">
              <w:rPr>
                <w:rFonts w:hint="eastAsia"/>
                <w:b/>
                <w:sz w:val="18"/>
              </w:rPr>
              <w:t>内容</w:t>
            </w:r>
          </w:p>
        </w:tc>
      </w:tr>
      <w:tr w:rsidR="00E77C09" w:rsidRPr="00E77C09" w14:paraId="2FDC8655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374C027" w14:textId="6C687192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所属项目</w:t>
            </w:r>
          </w:p>
        </w:tc>
        <w:tc>
          <w:tcPr>
            <w:tcW w:w="4593" w:type="dxa"/>
            <w:shd w:val="clear" w:color="auto" w:fill="auto"/>
          </w:tcPr>
          <w:p w14:paraId="40FC7335" w14:textId="7DD9DD87" w:rsidR="00E77C09" w:rsidRPr="00E77C09" w:rsidRDefault="00E77C09" w:rsidP="00E77C09">
            <w:pPr>
              <w:rPr>
                <w:sz w:val="18"/>
              </w:rPr>
            </w:pPr>
            <w:r>
              <w:rPr>
                <w:sz w:val="18"/>
              </w:rPr>
              <w:t>Ascend/MindIE-SD</w:t>
            </w:r>
          </w:p>
        </w:tc>
      </w:tr>
      <w:tr w:rsidR="00E77C09" w:rsidRPr="00E77C09" w14:paraId="1B99A63D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A1A28B2" w14:textId="2A148F09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责任人</w:t>
            </w:r>
          </w:p>
        </w:tc>
        <w:tc>
          <w:tcPr>
            <w:tcW w:w="4593" w:type="dxa"/>
            <w:shd w:val="clear" w:color="auto" w:fill="auto"/>
          </w:tcPr>
          <w:p w14:paraId="189808E3" w14:textId="71C02402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李锦熙（</w:t>
            </w:r>
            <w:r>
              <w:rPr>
                <w:rFonts w:hint="eastAsia"/>
                <w:sz w:val="18"/>
              </w:rPr>
              <w:t>GitCode</w:t>
            </w:r>
            <w:r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>weixin_44144262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E77C09" w:rsidRPr="00E77C09" w14:paraId="19CEF46B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08B275B" w14:textId="73325576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2571CCEA" w14:textId="6D059011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!578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!580</w:t>
            </w:r>
          </w:p>
        </w:tc>
      </w:tr>
      <w:tr w:rsidR="00E77C09" w:rsidRPr="00E77C09" w14:paraId="3A17D3F5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3836452" w14:textId="0974D44A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合入时间</w:t>
            </w:r>
          </w:p>
        </w:tc>
        <w:tc>
          <w:tcPr>
            <w:tcW w:w="4593" w:type="dxa"/>
            <w:shd w:val="clear" w:color="auto" w:fill="auto"/>
          </w:tcPr>
          <w:p w14:paraId="52AC6126" w14:textId="6200D4F3" w:rsidR="00E77C09" w:rsidRPr="00E77C09" w:rsidRDefault="00E77C09" w:rsidP="00E77C09">
            <w:pPr>
              <w:rPr>
                <w:sz w:val="18"/>
              </w:rPr>
            </w:pPr>
            <w:r>
              <w:rPr>
                <w:sz w:val="18"/>
              </w:rPr>
              <w:t>2026-09-03</w:t>
            </w:r>
          </w:p>
        </w:tc>
      </w:tr>
      <w:tr w:rsidR="00E77C09" w:rsidRPr="00E77C09" w14:paraId="1B675D71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F2B4016" w14:textId="54F665B6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核心提交</w:t>
            </w:r>
          </w:p>
        </w:tc>
        <w:tc>
          <w:tcPr>
            <w:tcW w:w="4593" w:type="dxa"/>
            <w:shd w:val="clear" w:color="auto" w:fill="auto"/>
          </w:tcPr>
          <w:p w14:paraId="79465CE9" w14:textId="0BA8E57D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56a1400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6dc71e5</w:t>
            </w:r>
          </w:p>
        </w:tc>
      </w:tr>
    </w:tbl>
    <w:p w14:paraId="382B5C83" w14:textId="6978B53D" w:rsidR="00E77C09" w:rsidRDefault="00E77C09" w:rsidP="00E77C09"/>
    <w:p w14:paraId="56CDD447" w14:textId="3A7FFCD3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2. </w:t>
      </w:r>
      <w:r w:rsidRPr="00E77C09">
        <w:rPr>
          <w:rFonts w:hint="eastAsia"/>
          <w:color w:val="00008B"/>
          <w:sz w:val="30"/>
        </w:rPr>
        <w:t>背景与问题</w:t>
      </w:r>
    </w:p>
    <w:p w14:paraId="5B12F02F" w14:textId="758C016E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>多模态生成模型在多卡推理中常采用</w:t>
      </w:r>
      <w:r w:rsidRPr="00E77C09">
        <w:rPr>
          <w:rFonts w:hint="eastAsia"/>
        </w:rPr>
        <w:t xml:space="preserve"> UlyssesSP</w:t>
      </w:r>
      <w:r w:rsidRPr="00E77C09">
        <w:rPr>
          <w:rFonts w:hint="eastAsia"/>
        </w:rPr>
        <w:t>、</w:t>
      </w:r>
      <w:r w:rsidRPr="00E77C09">
        <w:rPr>
          <w:rFonts w:hint="eastAsia"/>
        </w:rPr>
        <w:t xml:space="preserve">RingSP </w:t>
      </w:r>
      <w:r w:rsidRPr="00E77C09">
        <w:rPr>
          <w:rFonts w:hint="eastAsia"/>
        </w:rPr>
        <w:t>或融合并行。序列增长后，</w:t>
      </w:r>
      <w:r w:rsidRPr="00E77C09">
        <w:rPr>
          <w:rFonts w:hint="eastAsia"/>
        </w:rPr>
        <w:t xml:space="preserve">All-to-All/AllGather </w:t>
      </w:r>
      <w:r w:rsidRPr="00E77C09">
        <w:rPr>
          <w:rFonts w:hint="eastAsia"/>
        </w:rPr>
        <w:t>等集合通信会暴露在关键路径上，单纯扩大并行规模可能因通信抵消计算收益。需求目标是统一序列并行注意力接口，并通过通信量化和多</w:t>
      </w:r>
      <w:r w:rsidRPr="00E77C09">
        <w:rPr>
          <w:rFonts w:hint="eastAsia"/>
        </w:rPr>
        <w:t xml:space="preserve"> Stream </w:t>
      </w:r>
      <w:r w:rsidRPr="00E77C09">
        <w:rPr>
          <w:rFonts w:hint="eastAsia"/>
        </w:rPr>
        <w:t>流水减少不可掩盖通信。</w:t>
      </w:r>
    </w:p>
    <w:p w14:paraId="171FDB1E" w14:textId="0E645DF7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3. </w:t>
      </w:r>
      <w:r w:rsidRPr="00E77C09">
        <w:rPr>
          <w:rFonts w:hint="eastAsia"/>
          <w:color w:val="00008B"/>
          <w:sz w:val="30"/>
        </w:rPr>
        <w:t>功能需求</w:t>
      </w:r>
    </w:p>
    <w:p w14:paraId="3B758BBF" w14:textId="4BA40AA6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1. </w:t>
      </w:r>
      <w:r w:rsidRPr="00E77C09">
        <w:rPr>
          <w:rFonts w:hint="eastAsia"/>
        </w:rPr>
        <w:t>提供统一</w:t>
      </w:r>
      <w:r w:rsidRPr="00E77C09">
        <w:rPr>
          <w:rFonts w:hint="eastAsia"/>
        </w:rPr>
        <w:t xml:space="preserve"> usp_attention </w:t>
      </w:r>
      <w:r w:rsidRPr="00E77C09">
        <w:rPr>
          <w:rFonts w:hint="eastAsia"/>
        </w:rPr>
        <w:t>接口，承载</w:t>
      </w:r>
      <w:r w:rsidRPr="00E77C09">
        <w:rPr>
          <w:rFonts w:hint="eastAsia"/>
        </w:rPr>
        <w:t xml:space="preserve"> Ulysses Head/Sequence </w:t>
      </w:r>
      <w:r w:rsidRPr="00E77C09">
        <w:rPr>
          <w:rFonts w:hint="eastAsia"/>
        </w:rPr>
        <w:t>交换与</w:t>
      </w:r>
      <w:r w:rsidRPr="00E77C09">
        <w:rPr>
          <w:rFonts w:hint="eastAsia"/>
        </w:rPr>
        <w:t xml:space="preserve"> KV </w:t>
      </w:r>
      <w:r w:rsidRPr="00E77C09">
        <w:rPr>
          <w:rFonts w:hint="eastAsia"/>
        </w:rPr>
        <w:t>聚合。</w:t>
      </w:r>
    </w:p>
    <w:p w14:paraId="6F3963DC" w14:textId="59D4D1BD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2. </w:t>
      </w:r>
      <w:r w:rsidRPr="00E77C09">
        <w:rPr>
          <w:rFonts w:hint="eastAsia"/>
        </w:rPr>
        <w:t>支持</w:t>
      </w:r>
      <w:r w:rsidRPr="00E77C09">
        <w:rPr>
          <w:rFonts w:hint="eastAsia"/>
        </w:rPr>
        <w:t xml:space="preserve"> Q/K/V/Out </w:t>
      </w:r>
      <w:r w:rsidRPr="00E77C09">
        <w:rPr>
          <w:rFonts w:hint="eastAsia"/>
        </w:rPr>
        <w:t>通信量化、反量化及</w:t>
      </w:r>
      <w:r w:rsidRPr="00E77C09">
        <w:rPr>
          <w:rFonts w:hint="eastAsia"/>
        </w:rPr>
        <w:t xml:space="preserve"> Scale </w:t>
      </w:r>
      <w:r w:rsidRPr="00E77C09">
        <w:rPr>
          <w:rFonts w:hint="eastAsia"/>
        </w:rPr>
        <w:t>管理。</w:t>
      </w:r>
    </w:p>
    <w:p w14:paraId="547F1514" w14:textId="1FB8AAD4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3. </w:t>
      </w:r>
      <w:r w:rsidRPr="00E77C09">
        <w:rPr>
          <w:rFonts w:hint="eastAsia"/>
        </w:rPr>
        <w:t>支持</w:t>
      </w:r>
      <w:r w:rsidRPr="00E77C09">
        <w:rPr>
          <w:rFonts w:hint="eastAsia"/>
        </w:rPr>
        <w:t xml:space="preserve"> Head Chunk </w:t>
      </w:r>
      <w:r w:rsidRPr="00E77C09">
        <w:rPr>
          <w:rFonts w:hint="eastAsia"/>
        </w:rPr>
        <w:t>流水，使通信与</w:t>
      </w:r>
      <w:r w:rsidRPr="00E77C09">
        <w:rPr>
          <w:rFonts w:hint="eastAsia"/>
        </w:rPr>
        <w:t xml:space="preserve"> FA </w:t>
      </w:r>
      <w:r w:rsidRPr="00E77C09">
        <w:rPr>
          <w:rFonts w:hint="eastAsia"/>
        </w:rPr>
        <w:t>计算重叠。</w:t>
      </w:r>
    </w:p>
    <w:p w14:paraId="0A7E3F24" w14:textId="132F2507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4. </w:t>
      </w:r>
      <w:r w:rsidRPr="00E77C09">
        <w:rPr>
          <w:rFonts w:hint="eastAsia"/>
        </w:rPr>
        <w:t>支持</w:t>
      </w:r>
      <w:r w:rsidRPr="00E77C09">
        <w:rPr>
          <w:rFonts w:hint="eastAsia"/>
        </w:rPr>
        <w:t xml:space="preserve"> Quant FA </w:t>
      </w:r>
      <w:r w:rsidRPr="00E77C09">
        <w:rPr>
          <w:rFonts w:hint="eastAsia"/>
        </w:rPr>
        <w:t>量化结果复用，减少重复量化开销。</w:t>
      </w:r>
    </w:p>
    <w:p w14:paraId="12AC3CA3" w14:textId="0F94D7DB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lastRenderedPageBreak/>
        <w:t xml:space="preserve">5. </w:t>
      </w:r>
      <w:r w:rsidRPr="00E77C09">
        <w:rPr>
          <w:rFonts w:hint="eastAsia"/>
        </w:rPr>
        <w:t>覆盖单</w:t>
      </w:r>
      <w:r w:rsidRPr="00E77C09">
        <w:rPr>
          <w:rFonts w:hint="eastAsia"/>
        </w:rPr>
        <w:t xml:space="preserve"> Rank</w:t>
      </w:r>
      <w:r w:rsidRPr="00E77C09">
        <w:rPr>
          <w:rFonts w:hint="eastAsia"/>
        </w:rPr>
        <w:t>、分片、量化、重叠、复用和异常路径。</w:t>
      </w:r>
    </w:p>
    <w:p w14:paraId="5C29A820" w14:textId="07158523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6. </w:t>
      </w:r>
      <w:r w:rsidRPr="00E77C09">
        <w:rPr>
          <w:rFonts w:hint="eastAsia"/>
        </w:rPr>
        <w:t>输出中英文使用指南与模型级测试说明。</w:t>
      </w:r>
    </w:p>
    <w:p w14:paraId="5FA139AC" w14:textId="5BADF33B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4. </w:t>
      </w:r>
      <w:r w:rsidRPr="00E77C09">
        <w:rPr>
          <w:rFonts w:hint="eastAsia"/>
          <w:color w:val="00008B"/>
          <w:sz w:val="30"/>
        </w:rPr>
        <w:t>非功能需求</w:t>
      </w:r>
    </w:p>
    <w:p w14:paraId="3B5909CE" w14:textId="0491F441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- </w:t>
      </w:r>
      <w:r w:rsidRPr="00E77C09">
        <w:rPr>
          <w:rFonts w:hint="eastAsia"/>
        </w:rPr>
        <w:t>性能：以不可掩盖通信占比为核心指标，目标场景缩小至</w:t>
      </w:r>
      <w:r w:rsidRPr="00E77C09">
        <w:rPr>
          <w:rFonts w:hint="eastAsia"/>
        </w:rPr>
        <w:t xml:space="preserve"> 5% </w:t>
      </w:r>
      <w:r w:rsidRPr="00E77C09">
        <w:rPr>
          <w:rFonts w:hint="eastAsia"/>
        </w:rPr>
        <w:t>以下。</w:t>
      </w:r>
    </w:p>
    <w:p w14:paraId="6E54146A" w14:textId="581A5DFE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- </w:t>
      </w:r>
      <w:r w:rsidRPr="00E77C09">
        <w:rPr>
          <w:rFonts w:hint="eastAsia"/>
        </w:rPr>
        <w:t>精度：量化通信后模型生成精度满足项目门限。</w:t>
      </w:r>
    </w:p>
    <w:p w14:paraId="0694AB19" w14:textId="65065557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- </w:t>
      </w:r>
      <w:r w:rsidRPr="00E77C09">
        <w:rPr>
          <w:rFonts w:hint="eastAsia"/>
        </w:rPr>
        <w:t>可扩展性：覆盖</w:t>
      </w:r>
      <w:r w:rsidRPr="00E77C09">
        <w:rPr>
          <w:rFonts w:hint="eastAsia"/>
        </w:rPr>
        <w:t xml:space="preserve"> 4 </w:t>
      </w:r>
      <w:r w:rsidRPr="00E77C09">
        <w:rPr>
          <w:rFonts w:hint="eastAsia"/>
        </w:rPr>
        <w:t>卡、</w:t>
      </w:r>
      <w:r w:rsidRPr="00E77C09">
        <w:rPr>
          <w:rFonts w:hint="eastAsia"/>
        </w:rPr>
        <w:t xml:space="preserve">8 </w:t>
      </w:r>
      <w:r w:rsidRPr="00E77C09">
        <w:rPr>
          <w:rFonts w:hint="eastAsia"/>
        </w:rPr>
        <w:t>卡，并允许后续扩展并行组合。</w:t>
      </w:r>
    </w:p>
    <w:p w14:paraId="3F04DD79" w14:textId="00871BDE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- </w:t>
      </w:r>
      <w:r w:rsidRPr="00E77C09">
        <w:rPr>
          <w:rFonts w:hint="eastAsia"/>
        </w:rPr>
        <w:t>可靠性：校验进程组、分片维度、量化参数及</w:t>
      </w:r>
      <w:r w:rsidRPr="00E77C09">
        <w:rPr>
          <w:rFonts w:hint="eastAsia"/>
        </w:rPr>
        <w:t xml:space="preserve"> Stream/Event </w:t>
      </w:r>
      <w:r w:rsidRPr="00E77C09">
        <w:rPr>
          <w:rFonts w:hint="eastAsia"/>
        </w:rPr>
        <w:t>顺序。</w:t>
      </w:r>
    </w:p>
    <w:p w14:paraId="5A44C58D" w14:textId="21F0E0C3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 xml:space="preserve">- </w:t>
      </w:r>
      <w:r w:rsidRPr="00E77C09">
        <w:rPr>
          <w:rFonts w:hint="eastAsia"/>
        </w:rPr>
        <w:t>易用性：通过显式参数表达并行拓扑与量化策略，文档可直接指导接入。</w:t>
      </w:r>
    </w:p>
    <w:p w14:paraId="30EB572E" w14:textId="713C3F9D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5. </w:t>
      </w:r>
      <w:r w:rsidRPr="00E77C09">
        <w:rPr>
          <w:rFonts w:hint="eastAsia"/>
          <w:color w:val="00008B"/>
          <w:sz w:val="30"/>
        </w:rPr>
        <w:t>验收标准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E77C09" w:rsidRPr="00E77C09" w14:paraId="096578E4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2277B11B" w14:textId="654622E6" w:rsidR="00E77C09" w:rsidRPr="00E77C09" w:rsidRDefault="00E77C09" w:rsidP="00E77C09">
            <w:pPr>
              <w:rPr>
                <w:b/>
                <w:sz w:val="18"/>
              </w:rPr>
            </w:pPr>
            <w:r w:rsidRPr="00E77C09">
              <w:rPr>
                <w:rFonts w:hint="eastAsia"/>
                <w:b/>
                <w:sz w:val="18"/>
              </w:rPr>
              <w:t>验收项</w:t>
            </w:r>
          </w:p>
        </w:tc>
        <w:tc>
          <w:tcPr>
            <w:tcW w:w="3062" w:type="dxa"/>
            <w:shd w:val="clear" w:color="auto" w:fill="E6E6E7"/>
          </w:tcPr>
          <w:p w14:paraId="64D21B91" w14:textId="4EB5AB78" w:rsidR="00E77C09" w:rsidRPr="00E77C09" w:rsidRDefault="00E77C09" w:rsidP="00E77C09">
            <w:pPr>
              <w:rPr>
                <w:b/>
                <w:sz w:val="18"/>
              </w:rPr>
            </w:pPr>
            <w:r w:rsidRPr="00E77C09">
              <w:rPr>
                <w:rFonts w:hint="eastAsia"/>
                <w:b/>
                <w:sz w:val="18"/>
              </w:rPr>
              <w:t>标准</w:t>
            </w:r>
          </w:p>
        </w:tc>
        <w:tc>
          <w:tcPr>
            <w:tcW w:w="3062" w:type="dxa"/>
            <w:shd w:val="clear" w:color="auto" w:fill="E6E6E7"/>
          </w:tcPr>
          <w:p w14:paraId="6B7883CE" w14:textId="2A7FF33C" w:rsidR="00E77C09" w:rsidRPr="00E77C09" w:rsidRDefault="00E77C09" w:rsidP="00E77C09">
            <w:pPr>
              <w:rPr>
                <w:b/>
                <w:sz w:val="18"/>
              </w:rPr>
            </w:pPr>
            <w:r w:rsidRPr="00E77C09">
              <w:rPr>
                <w:rFonts w:hint="eastAsia"/>
                <w:b/>
                <w:sz w:val="18"/>
              </w:rPr>
              <w:t>证据</w:t>
            </w:r>
          </w:p>
        </w:tc>
      </w:tr>
      <w:tr w:rsidR="00E77C09" w:rsidRPr="00E77C09" w14:paraId="5413FB16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4DB6A78" w14:textId="09A31A12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核心实现</w:t>
            </w:r>
          </w:p>
        </w:tc>
        <w:tc>
          <w:tcPr>
            <w:tcW w:w="3062" w:type="dxa"/>
            <w:shd w:val="clear" w:color="auto" w:fill="auto"/>
          </w:tcPr>
          <w:p w14:paraId="40903471" w14:textId="512BCCC6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USP </w:t>
            </w:r>
            <w:r>
              <w:rPr>
                <w:rFonts w:hint="eastAsia"/>
                <w:sz w:val="18"/>
              </w:rPr>
              <w:t>量化与重叠主流程成功合入</w:t>
            </w:r>
          </w:p>
        </w:tc>
        <w:tc>
          <w:tcPr>
            <w:tcW w:w="3062" w:type="dxa"/>
            <w:shd w:val="clear" w:color="auto" w:fill="auto"/>
          </w:tcPr>
          <w:p w14:paraId="7738AB63" w14:textId="185BB687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!578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904 </w:t>
            </w:r>
            <w:r>
              <w:rPr>
                <w:rFonts w:hint="eastAsia"/>
                <w:sz w:val="18"/>
              </w:rPr>
              <w:t>行核心实现</w:t>
            </w:r>
          </w:p>
        </w:tc>
      </w:tr>
      <w:tr w:rsidR="00E77C09" w:rsidRPr="00E77C09" w14:paraId="215EDA5D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D945A3A" w14:textId="1176106B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单元测试</w:t>
            </w:r>
          </w:p>
        </w:tc>
        <w:tc>
          <w:tcPr>
            <w:tcW w:w="3062" w:type="dxa"/>
            <w:shd w:val="clear" w:color="auto" w:fill="auto"/>
          </w:tcPr>
          <w:p w14:paraId="5F5637BD" w14:textId="79609543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分片、量化、重叠、复用和异常路径有测试</w:t>
            </w:r>
          </w:p>
        </w:tc>
        <w:tc>
          <w:tcPr>
            <w:tcW w:w="3062" w:type="dxa"/>
            <w:shd w:val="clear" w:color="auto" w:fill="auto"/>
          </w:tcPr>
          <w:p w14:paraId="09A5313E" w14:textId="094B149E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!580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tests/layers/test_usp.py</w:t>
            </w:r>
          </w:p>
        </w:tc>
      </w:tr>
      <w:tr w:rsidR="00E77C09" w:rsidRPr="00E77C09" w14:paraId="31318058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4EEBD629" w14:textId="2062ACD2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多卡</w:t>
            </w:r>
            <w:r>
              <w:rPr>
                <w:rFonts w:hint="eastAsia"/>
                <w:sz w:val="18"/>
              </w:rPr>
              <w:t xml:space="preserve"> E2E</w:t>
            </w:r>
          </w:p>
        </w:tc>
        <w:tc>
          <w:tcPr>
            <w:tcW w:w="3062" w:type="dxa"/>
            <w:shd w:val="clear" w:color="auto" w:fill="auto"/>
          </w:tcPr>
          <w:p w14:paraId="4883BB76" w14:textId="048CA958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HunyuanVideo 4/8 </w:t>
            </w:r>
            <w:r>
              <w:rPr>
                <w:rFonts w:hint="eastAsia"/>
                <w:sz w:val="18"/>
              </w:rPr>
              <w:t>卡完成验证</w:t>
            </w:r>
          </w:p>
        </w:tc>
        <w:tc>
          <w:tcPr>
            <w:tcW w:w="3062" w:type="dxa"/>
            <w:shd w:val="clear" w:color="auto" w:fill="auto"/>
          </w:tcPr>
          <w:p w14:paraId="00BB6C2C" w14:textId="23493929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!578/!580 </w:t>
            </w:r>
            <w:r>
              <w:rPr>
                <w:rFonts w:hint="eastAsia"/>
                <w:sz w:val="18"/>
              </w:rPr>
              <w:t>测试报告</w:t>
            </w:r>
          </w:p>
        </w:tc>
      </w:tr>
      <w:tr w:rsidR="00E77C09" w:rsidRPr="00E77C09" w14:paraId="1A8B8243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531577D3" w14:textId="4B22A978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文档</w:t>
            </w:r>
          </w:p>
        </w:tc>
        <w:tc>
          <w:tcPr>
            <w:tcW w:w="3062" w:type="dxa"/>
            <w:shd w:val="clear" w:color="auto" w:fill="auto"/>
          </w:tcPr>
          <w:p w14:paraId="79A2C668" w14:textId="0BCC36B1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中英文指南成功发布</w:t>
            </w:r>
          </w:p>
        </w:tc>
        <w:tc>
          <w:tcPr>
            <w:tcW w:w="3062" w:type="dxa"/>
            <w:shd w:val="clear" w:color="auto" w:fill="auto"/>
          </w:tcPr>
          <w:p w14:paraId="74A289C0" w14:textId="345ACC77" w:rsidR="00E77C09" w:rsidRPr="00E77C09" w:rsidRDefault="00E77C09" w:rsidP="00E77C09">
            <w:pPr>
              <w:rPr>
                <w:sz w:val="18"/>
              </w:rPr>
            </w:pPr>
            <w:r>
              <w:rPr>
                <w:sz w:val="18"/>
              </w:rPr>
              <w:t>PR !580</w:t>
            </w:r>
          </w:p>
        </w:tc>
      </w:tr>
      <w:tr w:rsidR="00E77C09" w:rsidRPr="00E77C09" w14:paraId="2C19650B" w14:textId="77777777" w:rsidTr="00E77C09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75111363" w14:textId="1A62B27F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性能目标</w:t>
            </w:r>
          </w:p>
        </w:tc>
        <w:tc>
          <w:tcPr>
            <w:tcW w:w="3062" w:type="dxa"/>
            <w:shd w:val="clear" w:color="auto" w:fill="auto"/>
          </w:tcPr>
          <w:p w14:paraId="2B21AF02" w14:textId="57666DA1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典型场景不可掩盖通信目标小于</w:t>
            </w:r>
            <w:r>
              <w:rPr>
                <w:rFonts w:hint="eastAsia"/>
                <w:sz w:val="18"/>
              </w:rPr>
              <w:t xml:space="preserve"> 5%</w:t>
            </w:r>
          </w:p>
        </w:tc>
        <w:tc>
          <w:tcPr>
            <w:tcW w:w="3062" w:type="dxa"/>
            <w:shd w:val="clear" w:color="auto" w:fill="auto"/>
          </w:tcPr>
          <w:p w14:paraId="4643A4E3" w14:textId="0F889BDF" w:rsidR="00E77C09" w:rsidRPr="00E77C09" w:rsidRDefault="00E77C09" w:rsidP="00E77C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Purpose</w:t>
            </w:r>
            <w:r>
              <w:rPr>
                <w:rFonts w:hint="eastAsia"/>
                <w:sz w:val="18"/>
              </w:rPr>
              <w:t>；需结合具体环境解释</w:t>
            </w:r>
          </w:p>
        </w:tc>
      </w:tr>
    </w:tbl>
    <w:p w14:paraId="2F616E96" w14:textId="06D08073" w:rsidR="00E77C09" w:rsidRDefault="00E77C09" w:rsidP="00E77C09"/>
    <w:p w14:paraId="07DC655E" w14:textId="2A3B4A58" w:rsidR="00E77C09" w:rsidRDefault="00E77C09" w:rsidP="00E77C09">
      <w:pPr>
        <w:pStyle w:val="1"/>
        <w:rPr>
          <w:rFonts w:hint="eastAsia"/>
          <w:color w:val="00008B"/>
          <w:sz w:val="30"/>
        </w:rPr>
      </w:pPr>
      <w:r w:rsidRPr="00E77C09">
        <w:rPr>
          <w:rFonts w:hint="eastAsia"/>
          <w:color w:val="00008B"/>
          <w:sz w:val="30"/>
        </w:rPr>
        <w:t xml:space="preserve">6. </w:t>
      </w:r>
      <w:r w:rsidRPr="00E77C09">
        <w:rPr>
          <w:rFonts w:hint="eastAsia"/>
          <w:color w:val="00008B"/>
          <w:sz w:val="30"/>
        </w:rPr>
        <w:t>风险与约束</w:t>
      </w:r>
    </w:p>
    <w:p w14:paraId="3F9FD51B" w14:textId="50963088" w:rsidR="00E77C09" w:rsidRDefault="00E77C09" w:rsidP="00E77C09">
      <w:pPr>
        <w:rPr>
          <w:rFonts w:hint="eastAsia"/>
        </w:rPr>
      </w:pPr>
      <w:r w:rsidRPr="00E77C09">
        <w:rPr>
          <w:rFonts w:hint="eastAsia"/>
        </w:rPr>
        <w:t>量化收益必须扣除量化</w:t>
      </w:r>
      <w:r w:rsidRPr="00E77C09">
        <w:rPr>
          <w:rFonts w:hint="eastAsia"/>
        </w:rPr>
        <w:t>/</w:t>
      </w:r>
      <w:r w:rsidRPr="00E77C09">
        <w:rPr>
          <w:rFonts w:hint="eastAsia"/>
        </w:rPr>
        <w:t>反量化和</w:t>
      </w:r>
      <w:r w:rsidRPr="00E77C09">
        <w:rPr>
          <w:rFonts w:hint="eastAsia"/>
        </w:rPr>
        <w:t xml:space="preserve"> Scale </w:t>
      </w:r>
      <w:r w:rsidRPr="00E77C09">
        <w:rPr>
          <w:rFonts w:hint="eastAsia"/>
        </w:rPr>
        <w:t>通信开销；</w:t>
      </w:r>
      <w:r w:rsidRPr="00E77C09">
        <w:rPr>
          <w:rFonts w:hint="eastAsia"/>
        </w:rPr>
        <w:t xml:space="preserve">Chunk </w:t>
      </w:r>
      <w:r w:rsidRPr="00E77C09">
        <w:rPr>
          <w:rFonts w:hint="eastAsia"/>
        </w:rPr>
        <w:t>太小会增加调度成本，太大则降低重叠空间；集合通信、</w:t>
      </w:r>
      <w:r w:rsidRPr="00E77C09">
        <w:rPr>
          <w:rFonts w:hint="eastAsia"/>
        </w:rPr>
        <w:t xml:space="preserve">NPU Stream </w:t>
      </w:r>
      <w:r w:rsidRPr="00E77C09">
        <w:rPr>
          <w:rFonts w:hint="eastAsia"/>
        </w:rPr>
        <w:t>和</w:t>
      </w:r>
      <w:r w:rsidRPr="00E77C09">
        <w:rPr>
          <w:rFonts w:hint="eastAsia"/>
        </w:rPr>
        <w:t xml:space="preserve"> Event </w:t>
      </w:r>
      <w:r w:rsidRPr="00E77C09">
        <w:rPr>
          <w:rFonts w:hint="eastAsia"/>
        </w:rPr>
        <w:t>的顺序错误可能导致死锁或读写竞争。模型结论依赖拓扑、序列长度和硬件环境。</w:t>
      </w:r>
    </w:p>
    <w:p w14:paraId="2CD0A15B" w14:textId="77777777" w:rsidR="00E77C09" w:rsidRPr="00E77C09" w:rsidRDefault="00E77C09" w:rsidP="00E77C09"/>
    <w:sectPr w:rsidR="00E77C09" w:rsidRPr="00E77C09" w:rsidSect="00E77C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F2C1" w14:textId="77777777" w:rsidR="00E77C09" w:rsidRDefault="00E77C09" w:rsidP="00E77C09">
      <w:pPr>
        <w:spacing w:after="0" w:line="240" w:lineRule="auto"/>
      </w:pPr>
      <w:r>
        <w:separator/>
      </w:r>
    </w:p>
  </w:endnote>
  <w:endnote w:type="continuationSeparator" w:id="0">
    <w:p w14:paraId="47A0E20A" w14:textId="77777777" w:rsidR="00E77C09" w:rsidRDefault="00E77C09" w:rsidP="00E77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014D6" w14:textId="77777777" w:rsidR="00E77C09" w:rsidRDefault="00E77C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1EEF" w14:textId="76D62DC6" w:rsidR="00E77C09" w:rsidRPr="00E77C09" w:rsidRDefault="00E77C09" w:rsidP="00E77C09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FB33C" w14:textId="77777777" w:rsidR="00E77C09" w:rsidRDefault="00E77C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8102D" w14:textId="77777777" w:rsidR="00E77C09" w:rsidRDefault="00E77C09" w:rsidP="00E77C09">
      <w:pPr>
        <w:spacing w:after="0" w:line="240" w:lineRule="auto"/>
      </w:pPr>
      <w:r>
        <w:separator/>
      </w:r>
    </w:p>
  </w:footnote>
  <w:footnote w:type="continuationSeparator" w:id="0">
    <w:p w14:paraId="63B0204C" w14:textId="77777777" w:rsidR="00E77C09" w:rsidRDefault="00E77C09" w:rsidP="00E77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20FAA" w14:textId="77777777" w:rsidR="00E77C09" w:rsidRDefault="00E77C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3363B" w14:textId="641BDCB0" w:rsidR="00E77C09" w:rsidRPr="00E77C09" w:rsidRDefault="00E77C09" w:rsidP="00E77C09">
    <w:pPr>
      <w:pStyle w:val="a3"/>
      <w:jc w:val="right"/>
      <w:rPr>
        <w:color w:val="777777"/>
        <w:sz w:val="16"/>
      </w:rPr>
    </w:pPr>
    <w:r w:rsidRPr="00E77C09">
      <w:rPr>
        <w:rFonts w:hint="eastAsia"/>
        <w:color w:val="777777"/>
        <w:sz w:val="16"/>
      </w:rPr>
      <w:t xml:space="preserve">MindIE-SD </w:t>
    </w:r>
    <w:r w:rsidRPr="00E77C09">
      <w:rPr>
        <w:rFonts w:hint="eastAsia"/>
        <w:color w:val="777777"/>
        <w:sz w:val="16"/>
      </w:rPr>
      <w:t>研发交付件｜</w:t>
    </w:r>
    <w:r w:rsidRPr="00E77C09">
      <w:rPr>
        <w:rFonts w:hint="eastAsia"/>
        <w:color w:val="777777"/>
        <w:sz w:val="16"/>
      </w:rPr>
      <w:t>USP</w:t>
    </w:r>
    <w:r w:rsidRPr="00E77C09">
      <w:rPr>
        <w:rFonts w:hint="eastAsia"/>
        <w:color w:val="777777"/>
        <w:sz w:val="16"/>
      </w:rPr>
      <w:t>通信重叠与量化需求分析报告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3A10" w14:textId="77777777" w:rsidR="00E77C09" w:rsidRDefault="00E77C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09"/>
    <w:rsid w:val="007E06FB"/>
    <w:rsid w:val="009316DD"/>
    <w:rsid w:val="00AC607B"/>
    <w:rsid w:val="00E7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41275"/>
  <w15:chartTrackingRefBased/>
  <w15:docId w15:val="{E790DA75-3C4B-47F3-A28B-14F3CEE4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77C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C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7C09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7C0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7C09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E77C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E77C0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77C09"/>
    <w:rPr>
      <w:rFonts w:ascii="Calibri" w:eastAsia="微软雅黑" w:hAnsi="Calibri" w:cs="Calibr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Company>Huawei Technologies Co., Ltd.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