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442AE" w14:textId="10E5F3F4" w:rsidR="00AC607B" w:rsidRDefault="009D3007" w:rsidP="009D3007">
      <w:pPr>
        <w:pStyle w:val="a7"/>
        <w:rPr>
          <w:rFonts w:eastAsia="微软雅黑" w:hint="eastAsia"/>
          <w:sz w:val="44"/>
        </w:rPr>
      </w:pPr>
      <w:r w:rsidRPr="009D3007">
        <w:rPr>
          <w:rFonts w:eastAsia="微软雅黑" w:hint="eastAsia"/>
          <w:sz w:val="44"/>
        </w:rPr>
        <w:t xml:space="preserve">MXFP4 Quant Flash Attention </w:t>
      </w:r>
      <w:r w:rsidRPr="009D3007">
        <w:rPr>
          <w:rFonts w:eastAsia="微软雅黑" w:hint="eastAsia"/>
          <w:sz w:val="44"/>
        </w:rPr>
        <w:t>验证报告</w:t>
      </w:r>
    </w:p>
    <w:p w14:paraId="60CC87D1" w14:textId="466ABA3D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1. </w:t>
      </w:r>
      <w:r w:rsidRPr="009D3007">
        <w:rPr>
          <w:rFonts w:hint="eastAsia"/>
          <w:color w:val="00008B"/>
          <w:sz w:val="30"/>
        </w:rPr>
        <w:t>验证对象</w:t>
      </w:r>
    </w:p>
    <w:p w14:paraId="07779A45" w14:textId="6BB347E4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>验证</w:t>
      </w:r>
      <w:r w:rsidRPr="009D3007">
        <w:rPr>
          <w:rFonts w:hint="eastAsia"/>
        </w:rPr>
        <w:t xml:space="preserve"> MindIE-SD MXFP4 Quant Flash Attention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 xml:space="preserve">Metadata </w:t>
      </w:r>
      <w:r w:rsidRPr="009D3007">
        <w:rPr>
          <w:rFonts w:hint="eastAsia"/>
        </w:rPr>
        <w:t>算子、</w:t>
      </w:r>
      <w:r w:rsidRPr="009D3007">
        <w:rPr>
          <w:rFonts w:hint="eastAsia"/>
        </w:rPr>
        <w:t xml:space="preserve">Softmax </w:t>
      </w:r>
      <w:r w:rsidRPr="009D3007">
        <w:rPr>
          <w:rFonts w:hint="eastAsia"/>
        </w:rPr>
        <w:t>布局变体以及模型部署端接入。关联</w:t>
      </w:r>
      <w:r w:rsidRPr="009D3007">
        <w:rPr>
          <w:rFonts w:hint="eastAsia"/>
        </w:rPr>
        <w:t xml:space="preserve"> PR </w:t>
      </w:r>
      <w:r w:rsidRPr="009D3007">
        <w:rPr>
          <w:rFonts w:hint="eastAsia"/>
        </w:rPr>
        <w:t>为</w:t>
      </w:r>
      <w:r w:rsidRPr="009D3007">
        <w:rPr>
          <w:rFonts w:hint="eastAsia"/>
        </w:rPr>
        <w:t xml:space="preserve"> !313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>!347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>!365</w:t>
      </w:r>
      <w:r w:rsidRPr="009D3007">
        <w:rPr>
          <w:rFonts w:hint="eastAsia"/>
        </w:rPr>
        <w:t>。</w:t>
      </w:r>
    </w:p>
    <w:p w14:paraId="57D9F761" w14:textId="3388F30F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2. </w:t>
      </w:r>
      <w:r w:rsidRPr="009D3007">
        <w:rPr>
          <w:rFonts w:hint="eastAsia"/>
          <w:color w:val="00008B"/>
          <w:sz w:val="30"/>
        </w:rPr>
        <w:t>验证策略</w:t>
      </w:r>
    </w:p>
    <w:p w14:paraId="27E1574C" w14:textId="22142619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>采用“单算子</w:t>
      </w:r>
      <w:r w:rsidRPr="009D3007">
        <w:rPr>
          <w:rFonts w:hint="eastAsia"/>
        </w:rPr>
        <w:t xml:space="preserve"> Golden</w:t>
      </w:r>
      <w:r w:rsidRPr="009D3007">
        <w:rPr>
          <w:rFonts w:hint="eastAsia"/>
        </w:rPr>
        <w:t>—布局专项—框架集成—模型</w:t>
      </w:r>
      <w:r w:rsidRPr="009D3007">
        <w:rPr>
          <w:rFonts w:hint="eastAsia"/>
        </w:rPr>
        <w:t xml:space="preserve"> E2E</w:t>
      </w:r>
      <w:r w:rsidRPr="009D3007">
        <w:rPr>
          <w:rFonts w:hint="eastAsia"/>
        </w:rPr>
        <w:t>”四层验证：单算子层检查数值正确性；布局层覆盖</w:t>
      </w:r>
      <w:r w:rsidRPr="009D3007">
        <w:rPr>
          <w:rFonts w:hint="eastAsia"/>
        </w:rPr>
        <w:t xml:space="preserve"> qs128/kvs32 </w:t>
      </w:r>
      <w:r w:rsidRPr="009D3007">
        <w:rPr>
          <w:rFonts w:hint="eastAsia"/>
        </w:rPr>
        <w:t>与</w:t>
      </w:r>
      <w:r w:rsidRPr="009D3007">
        <w:rPr>
          <w:rFonts w:hint="eastAsia"/>
        </w:rPr>
        <w:t xml:space="preserve"> qs128/kvs256</w:t>
      </w:r>
      <w:r w:rsidRPr="009D3007">
        <w:rPr>
          <w:rFonts w:hint="eastAsia"/>
        </w:rPr>
        <w:t>；框架层检查量化配置与算子调用；模型层检查</w:t>
      </w:r>
      <w:r w:rsidRPr="009D3007">
        <w:rPr>
          <w:rFonts w:hint="eastAsia"/>
        </w:rPr>
        <w:t xml:space="preserve"> Wan2.2 </w:t>
      </w:r>
      <w:r w:rsidRPr="009D3007">
        <w:rPr>
          <w:rFonts w:hint="eastAsia"/>
        </w:rPr>
        <w:t>生成链路的精度和性能。</w:t>
      </w:r>
    </w:p>
    <w:p w14:paraId="7A0654B6" w14:textId="181514D1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3. </w:t>
      </w:r>
      <w:r w:rsidRPr="009D3007">
        <w:rPr>
          <w:rFonts w:hint="eastAsia"/>
          <w:color w:val="00008B"/>
          <w:sz w:val="30"/>
        </w:rPr>
        <w:t>验证项与结果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6"/>
        <w:gridCol w:w="2296"/>
        <w:gridCol w:w="2296"/>
        <w:gridCol w:w="2297"/>
      </w:tblGrid>
      <w:tr w:rsidR="009D3007" w:rsidRPr="009D3007" w14:paraId="228FEBA4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E6E6E7"/>
          </w:tcPr>
          <w:p w14:paraId="4D278E55" w14:textId="4CDFD575" w:rsidR="009D3007" w:rsidRPr="009D3007" w:rsidRDefault="009D3007" w:rsidP="009D3007">
            <w:pPr>
              <w:rPr>
                <w:b/>
                <w:sz w:val="18"/>
              </w:rPr>
            </w:pPr>
            <w:r w:rsidRPr="009D3007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2296" w:type="dxa"/>
            <w:shd w:val="clear" w:color="auto" w:fill="E6E6E7"/>
          </w:tcPr>
          <w:p w14:paraId="018C22AF" w14:textId="420CCFDB" w:rsidR="009D3007" w:rsidRPr="009D3007" w:rsidRDefault="009D3007" w:rsidP="009D3007">
            <w:pPr>
              <w:rPr>
                <w:b/>
                <w:sz w:val="18"/>
              </w:rPr>
            </w:pPr>
            <w:r w:rsidRPr="009D3007">
              <w:rPr>
                <w:rFonts w:hint="eastAsia"/>
                <w:b/>
                <w:sz w:val="18"/>
              </w:rPr>
              <w:t>验证项</w:t>
            </w:r>
          </w:p>
        </w:tc>
        <w:tc>
          <w:tcPr>
            <w:tcW w:w="2296" w:type="dxa"/>
            <w:shd w:val="clear" w:color="auto" w:fill="E6E6E7"/>
          </w:tcPr>
          <w:p w14:paraId="781B31D8" w14:textId="008EE30C" w:rsidR="009D3007" w:rsidRPr="009D3007" w:rsidRDefault="009D3007" w:rsidP="009D3007">
            <w:pPr>
              <w:rPr>
                <w:b/>
                <w:sz w:val="18"/>
              </w:rPr>
            </w:pPr>
            <w:r w:rsidRPr="009D3007">
              <w:rPr>
                <w:rFonts w:hint="eastAsia"/>
                <w:b/>
                <w:sz w:val="18"/>
              </w:rPr>
              <w:t>预期结果</w:t>
            </w:r>
          </w:p>
        </w:tc>
        <w:tc>
          <w:tcPr>
            <w:tcW w:w="2297" w:type="dxa"/>
            <w:shd w:val="clear" w:color="auto" w:fill="E6E6E7"/>
          </w:tcPr>
          <w:p w14:paraId="465413FF" w14:textId="04A8F8B6" w:rsidR="009D3007" w:rsidRPr="009D3007" w:rsidRDefault="009D3007" w:rsidP="009D3007">
            <w:pPr>
              <w:rPr>
                <w:b/>
                <w:sz w:val="18"/>
              </w:rPr>
            </w:pPr>
            <w:r w:rsidRPr="009D3007">
              <w:rPr>
                <w:rFonts w:hint="eastAsia"/>
                <w:b/>
                <w:sz w:val="18"/>
              </w:rPr>
              <w:t>已有结果</w:t>
            </w:r>
            <w:r w:rsidRPr="009D3007">
              <w:rPr>
                <w:rFonts w:hint="eastAsia"/>
                <w:b/>
                <w:sz w:val="18"/>
              </w:rPr>
              <w:t>/</w:t>
            </w:r>
            <w:r w:rsidRPr="009D3007">
              <w:rPr>
                <w:rFonts w:hint="eastAsia"/>
                <w:b/>
                <w:sz w:val="18"/>
              </w:rPr>
              <w:t>证据</w:t>
            </w:r>
          </w:p>
        </w:tc>
      </w:tr>
      <w:tr w:rsidR="009D3007" w:rsidRPr="009D3007" w14:paraId="16305DBC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064FA96E" w14:textId="615A1E2E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构建</w:t>
            </w:r>
          </w:p>
        </w:tc>
        <w:tc>
          <w:tcPr>
            <w:tcW w:w="2296" w:type="dxa"/>
            <w:shd w:val="clear" w:color="auto" w:fill="auto"/>
          </w:tcPr>
          <w:p w14:paraId="392392F0" w14:textId="5944BBA9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QFA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Metadata </w:t>
            </w:r>
            <w:r>
              <w:rPr>
                <w:rFonts w:hint="eastAsia"/>
                <w:sz w:val="18"/>
              </w:rPr>
              <w:t>自定义算子编译</w:t>
            </w:r>
          </w:p>
        </w:tc>
        <w:tc>
          <w:tcPr>
            <w:tcW w:w="2296" w:type="dxa"/>
            <w:shd w:val="clear" w:color="auto" w:fill="auto"/>
          </w:tcPr>
          <w:p w14:paraId="24C8E0F3" w14:textId="3CE02108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构建成功</w:t>
            </w:r>
          </w:p>
        </w:tc>
        <w:tc>
          <w:tcPr>
            <w:tcW w:w="2297" w:type="dxa"/>
            <w:shd w:val="clear" w:color="auto" w:fill="auto"/>
          </w:tcPr>
          <w:p w14:paraId="496A82FF" w14:textId="7D5FF330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!313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!347 </w:t>
            </w:r>
            <w:r>
              <w:rPr>
                <w:rFonts w:hint="eastAsia"/>
                <w:sz w:val="18"/>
              </w:rPr>
              <w:t>已合入，远端</w:t>
            </w:r>
            <w:r>
              <w:rPr>
                <w:rFonts w:hint="eastAsia"/>
                <w:sz w:val="18"/>
              </w:rPr>
              <w:t xml:space="preserve"> Hook </w:t>
            </w:r>
            <w:r>
              <w:rPr>
                <w:rFonts w:hint="eastAsia"/>
                <w:sz w:val="18"/>
              </w:rPr>
              <w:t>通过</w:t>
            </w:r>
          </w:p>
        </w:tc>
      </w:tr>
      <w:tr w:rsidR="009D3007" w:rsidRPr="009D3007" w14:paraId="2657AAE8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5888BAC1" w14:textId="65017CFC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单算子</w:t>
            </w:r>
          </w:p>
        </w:tc>
        <w:tc>
          <w:tcPr>
            <w:tcW w:w="2296" w:type="dxa"/>
            <w:shd w:val="clear" w:color="auto" w:fill="auto"/>
          </w:tcPr>
          <w:p w14:paraId="10716691" w14:textId="0524B5D4" w:rsidR="009D3007" w:rsidRPr="009D3007" w:rsidRDefault="009D3007" w:rsidP="009D3007">
            <w:pPr>
              <w:rPr>
                <w:sz w:val="18"/>
              </w:rPr>
            </w:pPr>
            <w:r>
              <w:rPr>
                <w:sz w:val="18"/>
              </w:rPr>
              <w:t>quant_flash_attn_golden.py</w:t>
            </w:r>
          </w:p>
        </w:tc>
        <w:tc>
          <w:tcPr>
            <w:tcW w:w="2296" w:type="dxa"/>
            <w:shd w:val="clear" w:color="auto" w:fill="auto"/>
          </w:tcPr>
          <w:p w14:paraId="69788417" w14:textId="6C60372B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输出满足项目精度门限</w:t>
            </w:r>
          </w:p>
        </w:tc>
        <w:tc>
          <w:tcPr>
            <w:tcW w:w="2297" w:type="dxa"/>
            <w:shd w:val="clear" w:color="auto" w:fill="auto"/>
          </w:tcPr>
          <w:p w14:paraId="4F706821" w14:textId="42314C74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!313 </w:t>
            </w:r>
            <w:r>
              <w:rPr>
                <w:rFonts w:hint="eastAsia"/>
                <w:sz w:val="18"/>
              </w:rPr>
              <w:t>提供单算子精度测试截图</w:t>
            </w:r>
          </w:p>
        </w:tc>
      </w:tr>
      <w:tr w:rsidR="009D3007" w:rsidRPr="009D3007" w14:paraId="161FFF75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0C4455DC" w14:textId="784EE444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布局</w:t>
            </w:r>
          </w:p>
        </w:tc>
        <w:tc>
          <w:tcPr>
            <w:tcW w:w="2296" w:type="dxa"/>
            <w:shd w:val="clear" w:color="auto" w:fill="auto"/>
          </w:tcPr>
          <w:p w14:paraId="349E88A7" w14:textId="0597F4A6" w:rsidR="009D3007" w:rsidRPr="009D3007" w:rsidRDefault="009D3007" w:rsidP="009D3007">
            <w:pPr>
              <w:rPr>
                <w:sz w:val="18"/>
              </w:rPr>
            </w:pPr>
            <w:r>
              <w:rPr>
                <w:sz w:val="18"/>
              </w:rPr>
              <w:t>qs128/kvs32</w:t>
            </w:r>
          </w:p>
        </w:tc>
        <w:tc>
          <w:tcPr>
            <w:tcW w:w="2296" w:type="dxa"/>
            <w:shd w:val="clear" w:color="auto" w:fill="auto"/>
          </w:tcPr>
          <w:p w14:paraId="40ED3D31" w14:textId="3191462B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对应</w:t>
            </w:r>
            <w:r>
              <w:rPr>
                <w:rFonts w:hint="eastAsia"/>
                <w:sz w:val="18"/>
              </w:rPr>
              <w:t xml:space="preserve"> Kernel </w:t>
            </w:r>
            <w:r>
              <w:rPr>
                <w:rFonts w:hint="eastAsia"/>
                <w:sz w:val="18"/>
              </w:rPr>
              <w:t>正确执行</w:t>
            </w:r>
          </w:p>
        </w:tc>
        <w:tc>
          <w:tcPr>
            <w:tcW w:w="2297" w:type="dxa"/>
            <w:shd w:val="clear" w:color="auto" w:fill="auto"/>
          </w:tcPr>
          <w:p w14:paraId="6851686D" w14:textId="2D3DAC80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!347 </w:t>
            </w:r>
            <w:r>
              <w:rPr>
                <w:rFonts w:hint="eastAsia"/>
                <w:sz w:val="18"/>
              </w:rPr>
              <w:t>测试计划及本地</w:t>
            </w:r>
            <w:r>
              <w:rPr>
                <w:rFonts w:hint="eastAsia"/>
                <w:sz w:val="18"/>
              </w:rPr>
              <w:t xml:space="preserve"> UT </w:t>
            </w:r>
            <w:r>
              <w:rPr>
                <w:rFonts w:hint="eastAsia"/>
                <w:sz w:val="18"/>
              </w:rPr>
              <w:t>记录</w:t>
            </w:r>
          </w:p>
        </w:tc>
      </w:tr>
      <w:tr w:rsidR="009D3007" w:rsidRPr="009D3007" w14:paraId="33883EAF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6497E785" w14:textId="320F6BEA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布局</w:t>
            </w:r>
          </w:p>
        </w:tc>
        <w:tc>
          <w:tcPr>
            <w:tcW w:w="2296" w:type="dxa"/>
            <w:shd w:val="clear" w:color="auto" w:fill="auto"/>
          </w:tcPr>
          <w:p w14:paraId="3299C61D" w14:textId="14ABB971" w:rsidR="009D3007" w:rsidRPr="009D3007" w:rsidRDefault="009D3007" w:rsidP="009D3007">
            <w:pPr>
              <w:rPr>
                <w:sz w:val="18"/>
              </w:rPr>
            </w:pPr>
            <w:r>
              <w:rPr>
                <w:sz w:val="18"/>
              </w:rPr>
              <w:t>qs128/kvs256</w:t>
            </w:r>
          </w:p>
        </w:tc>
        <w:tc>
          <w:tcPr>
            <w:tcW w:w="2296" w:type="dxa"/>
            <w:shd w:val="clear" w:color="auto" w:fill="auto"/>
          </w:tcPr>
          <w:p w14:paraId="5052167C" w14:textId="1AF5D7D4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对应</w:t>
            </w:r>
            <w:r>
              <w:rPr>
                <w:rFonts w:hint="eastAsia"/>
                <w:sz w:val="18"/>
              </w:rPr>
              <w:t xml:space="preserve"> Kernel </w:t>
            </w:r>
            <w:r>
              <w:rPr>
                <w:rFonts w:hint="eastAsia"/>
                <w:sz w:val="18"/>
              </w:rPr>
              <w:t>正确执行</w:t>
            </w:r>
          </w:p>
        </w:tc>
        <w:tc>
          <w:tcPr>
            <w:tcW w:w="2297" w:type="dxa"/>
            <w:shd w:val="clear" w:color="auto" w:fill="auto"/>
          </w:tcPr>
          <w:p w14:paraId="7835659D" w14:textId="6465A732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!347 </w:t>
            </w:r>
            <w:r>
              <w:rPr>
                <w:rFonts w:hint="eastAsia"/>
                <w:sz w:val="18"/>
              </w:rPr>
              <w:t>测试计划及本地</w:t>
            </w:r>
            <w:r>
              <w:rPr>
                <w:rFonts w:hint="eastAsia"/>
                <w:sz w:val="18"/>
              </w:rPr>
              <w:t xml:space="preserve"> UT </w:t>
            </w:r>
            <w:r>
              <w:rPr>
                <w:rFonts w:hint="eastAsia"/>
                <w:sz w:val="18"/>
              </w:rPr>
              <w:t>记录</w:t>
            </w:r>
          </w:p>
        </w:tc>
      </w:tr>
      <w:tr w:rsidR="009D3007" w:rsidRPr="009D3007" w14:paraId="2B3622CD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0CD982CA" w14:textId="2ACC186F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集成</w:t>
            </w:r>
          </w:p>
        </w:tc>
        <w:tc>
          <w:tcPr>
            <w:tcW w:w="2296" w:type="dxa"/>
            <w:shd w:val="clear" w:color="auto" w:fill="auto"/>
          </w:tcPr>
          <w:p w14:paraId="0F7B303D" w14:textId="72D22A0C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量化配置、权重与算子调用</w:t>
            </w:r>
          </w:p>
        </w:tc>
        <w:tc>
          <w:tcPr>
            <w:tcW w:w="2296" w:type="dxa"/>
            <w:shd w:val="clear" w:color="auto" w:fill="auto"/>
          </w:tcPr>
          <w:p w14:paraId="03F65820" w14:textId="03A3F265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部署路径完整，无接口错误</w:t>
            </w:r>
          </w:p>
        </w:tc>
        <w:tc>
          <w:tcPr>
            <w:tcW w:w="2297" w:type="dxa"/>
            <w:shd w:val="clear" w:color="auto" w:fill="auto"/>
          </w:tcPr>
          <w:p w14:paraId="1C9F6D70" w14:textId="4396ACB0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!365 </w:t>
            </w:r>
            <w:r>
              <w:rPr>
                <w:rFonts w:hint="eastAsia"/>
                <w:sz w:val="18"/>
              </w:rPr>
              <w:t>已合入</w:t>
            </w:r>
          </w:p>
        </w:tc>
      </w:tr>
      <w:tr w:rsidR="009D3007" w:rsidRPr="009D3007" w14:paraId="1B37F5DD" w14:textId="77777777" w:rsidTr="009D3007">
        <w:tblPrEx>
          <w:tblCellMar>
            <w:top w:w="0" w:type="dxa"/>
            <w:bottom w:w="0" w:type="dxa"/>
          </w:tblCellMar>
        </w:tblPrEx>
        <w:tc>
          <w:tcPr>
            <w:tcW w:w="2296" w:type="dxa"/>
            <w:shd w:val="clear" w:color="auto" w:fill="auto"/>
          </w:tcPr>
          <w:p w14:paraId="56E1E664" w14:textId="066BA4EC" w:rsidR="009D3007" w:rsidRPr="009D3007" w:rsidRDefault="009D3007" w:rsidP="009D3007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E2E</w:t>
            </w:r>
          </w:p>
        </w:tc>
        <w:tc>
          <w:tcPr>
            <w:tcW w:w="2296" w:type="dxa"/>
            <w:shd w:val="clear" w:color="auto" w:fill="auto"/>
          </w:tcPr>
          <w:p w14:paraId="335074F4" w14:textId="6AA2A210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Wan2.2 </w:t>
            </w:r>
            <w:r>
              <w:rPr>
                <w:rFonts w:hint="eastAsia"/>
                <w:sz w:val="18"/>
              </w:rPr>
              <w:t>模型推理</w:t>
            </w:r>
          </w:p>
        </w:tc>
        <w:tc>
          <w:tcPr>
            <w:tcW w:w="2296" w:type="dxa"/>
            <w:shd w:val="clear" w:color="auto" w:fill="auto"/>
          </w:tcPr>
          <w:p w14:paraId="30A37A53" w14:textId="7C301FB8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精度与性能完成验证</w:t>
            </w:r>
          </w:p>
        </w:tc>
        <w:tc>
          <w:tcPr>
            <w:tcW w:w="2297" w:type="dxa"/>
            <w:shd w:val="clear" w:color="auto" w:fill="auto"/>
          </w:tcPr>
          <w:p w14:paraId="0A989926" w14:textId="5D3DC2DD" w:rsidR="009D3007" w:rsidRPr="009D3007" w:rsidRDefault="009D3007" w:rsidP="009D300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!365 </w:t>
            </w:r>
            <w:r>
              <w:rPr>
                <w:rFonts w:hint="eastAsia"/>
                <w:sz w:val="18"/>
              </w:rPr>
              <w:t>测试报告截图</w:t>
            </w:r>
          </w:p>
        </w:tc>
      </w:tr>
    </w:tbl>
    <w:p w14:paraId="7BCC5CCE" w14:textId="25697D37" w:rsidR="009D3007" w:rsidRDefault="009D3007" w:rsidP="009D3007"/>
    <w:p w14:paraId="5AF57428" w14:textId="6AE3D43B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4. </w:t>
      </w:r>
      <w:r w:rsidRPr="009D3007">
        <w:rPr>
          <w:rFonts w:hint="eastAsia"/>
          <w:color w:val="00008B"/>
          <w:sz w:val="30"/>
        </w:rPr>
        <w:t>回归关注点</w:t>
      </w:r>
    </w:p>
    <w:p w14:paraId="4151DD6F" w14:textId="727B2419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 xml:space="preserve">1. </w:t>
      </w:r>
      <w:r w:rsidRPr="009D3007">
        <w:rPr>
          <w:rFonts w:hint="eastAsia"/>
        </w:rPr>
        <w:t>不同序列长度、</w:t>
      </w:r>
      <w:r w:rsidRPr="009D3007">
        <w:rPr>
          <w:rFonts w:hint="eastAsia"/>
        </w:rPr>
        <w:t xml:space="preserve">Head </w:t>
      </w:r>
      <w:r w:rsidRPr="009D3007">
        <w:rPr>
          <w:rFonts w:hint="eastAsia"/>
        </w:rPr>
        <w:t>数、</w:t>
      </w:r>
      <w:r w:rsidRPr="009D3007">
        <w:rPr>
          <w:rFonts w:hint="eastAsia"/>
        </w:rPr>
        <w:t xml:space="preserve">Q/KV </w:t>
      </w:r>
      <w:r w:rsidRPr="009D3007">
        <w:rPr>
          <w:rFonts w:hint="eastAsia"/>
        </w:rPr>
        <w:t>分块组合的尾块边界。</w:t>
      </w:r>
    </w:p>
    <w:p w14:paraId="7924CCB0" w14:textId="4C00CFC2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 xml:space="preserve">2. Scale/Metadata </w:t>
      </w:r>
      <w:r w:rsidRPr="009D3007">
        <w:rPr>
          <w:rFonts w:hint="eastAsia"/>
        </w:rPr>
        <w:t>的</w:t>
      </w:r>
      <w:r w:rsidRPr="009D3007">
        <w:rPr>
          <w:rFonts w:hint="eastAsia"/>
        </w:rPr>
        <w:t xml:space="preserve"> shape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 xml:space="preserve">dtype </w:t>
      </w:r>
      <w:r w:rsidRPr="009D3007">
        <w:rPr>
          <w:rFonts w:hint="eastAsia"/>
        </w:rPr>
        <w:t>和生命周期。</w:t>
      </w:r>
    </w:p>
    <w:p w14:paraId="562F1BF1" w14:textId="5B015364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>3. BF16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 xml:space="preserve">FP16 </w:t>
      </w:r>
      <w:r w:rsidRPr="009D3007">
        <w:rPr>
          <w:rFonts w:hint="eastAsia"/>
        </w:rPr>
        <w:t>与</w:t>
      </w:r>
      <w:r w:rsidRPr="009D3007">
        <w:rPr>
          <w:rFonts w:hint="eastAsia"/>
        </w:rPr>
        <w:t xml:space="preserve"> MXFP4 </w:t>
      </w:r>
      <w:r w:rsidRPr="009D3007">
        <w:rPr>
          <w:rFonts w:hint="eastAsia"/>
        </w:rPr>
        <w:t>分支切换时的参数污染。</w:t>
      </w:r>
    </w:p>
    <w:p w14:paraId="5CE9070E" w14:textId="620FAC34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 xml:space="preserve">4. CANN </w:t>
      </w:r>
      <w:r w:rsidRPr="009D3007">
        <w:rPr>
          <w:rFonts w:hint="eastAsia"/>
        </w:rPr>
        <w:t>版本升级后的编译兼容与</w:t>
      </w:r>
      <w:r w:rsidRPr="009D3007">
        <w:rPr>
          <w:rFonts w:hint="eastAsia"/>
        </w:rPr>
        <w:t xml:space="preserve"> Kernel </w:t>
      </w:r>
      <w:r w:rsidRPr="009D3007">
        <w:rPr>
          <w:rFonts w:hint="eastAsia"/>
        </w:rPr>
        <w:t>选择。</w:t>
      </w:r>
    </w:p>
    <w:p w14:paraId="0E4E2049" w14:textId="3C34D35B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 xml:space="preserve">5. </w:t>
      </w:r>
      <w:r w:rsidRPr="009D3007">
        <w:rPr>
          <w:rFonts w:hint="eastAsia"/>
        </w:rPr>
        <w:t>模型长序列、多层误差累积和生成质量。</w:t>
      </w:r>
    </w:p>
    <w:p w14:paraId="519D1609" w14:textId="036E04B1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5. </w:t>
      </w:r>
      <w:r w:rsidRPr="009D3007">
        <w:rPr>
          <w:rFonts w:hint="eastAsia"/>
          <w:color w:val="00008B"/>
          <w:sz w:val="30"/>
        </w:rPr>
        <w:t>结论</w:t>
      </w:r>
    </w:p>
    <w:p w14:paraId="2EB6A995" w14:textId="4CA0BF3E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>三组</w:t>
      </w:r>
      <w:r w:rsidRPr="009D3007">
        <w:rPr>
          <w:rFonts w:hint="eastAsia"/>
        </w:rPr>
        <w:t xml:space="preserve"> PR </w:t>
      </w:r>
      <w:r w:rsidRPr="009D3007">
        <w:rPr>
          <w:rFonts w:hint="eastAsia"/>
        </w:rPr>
        <w:t>已形成从算子实现、布局扩展到模型部署接入的闭环并成功合入</w:t>
      </w:r>
      <w:r w:rsidRPr="009D3007">
        <w:rPr>
          <w:rFonts w:hint="eastAsia"/>
        </w:rPr>
        <w:t xml:space="preserve"> MindIE-SD</w:t>
      </w:r>
      <w:r w:rsidRPr="009D3007">
        <w:rPr>
          <w:rFonts w:hint="eastAsia"/>
        </w:rPr>
        <w:t>。构建、</w:t>
      </w:r>
      <w:r w:rsidRPr="009D3007">
        <w:rPr>
          <w:rFonts w:hint="eastAsia"/>
        </w:rPr>
        <w:t xml:space="preserve">Golden/UT </w:t>
      </w:r>
      <w:r w:rsidRPr="009D3007">
        <w:rPr>
          <w:rFonts w:hint="eastAsia"/>
        </w:rPr>
        <w:t>和</w:t>
      </w:r>
      <w:r w:rsidRPr="009D3007">
        <w:rPr>
          <w:rFonts w:hint="eastAsia"/>
        </w:rPr>
        <w:t xml:space="preserve"> Wan2.2 E2E </w:t>
      </w:r>
      <w:r w:rsidRPr="009D3007">
        <w:rPr>
          <w:rFonts w:hint="eastAsia"/>
        </w:rPr>
        <w:t>验证均已执行。当前归档记录包含功能与精度验证结论；硬件型号、</w:t>
      </w:r>
      <w:r w:rsidRPr="009D3007">
        <w:rPr>
          <w:rFonts w:hint="eastAsia"/>
        </w:rPr>
        <w:t xml:space="preserve">CANN </w:t>
      </w:r>
      <w:r w:rsidRPr="009D3007">
        <w:rPr>
          <w:rFonts w:hint="eastAsia"/>
        </w:rPr>
        <w:t>版本、完整误差分布及性能明细以测试平台原始记录为准。</w:t>
      </w:r>
    </w:p>
    <w:p w14:paraId="4DD58D22" w14:textId="11FC577A" w:rsidR="009D3007" w:rsidRDefault="009D3007" w:rsidP="009D3007">
      <w:pPr>
        <w:pStyle w:val="1"/>
        <w:rPr>
          <w:rFonts w:hint="eastAsia"/>
          <w:color w:val="00008B"/>
          <w:sz w:val="30"/>
        </w:rPr>
      </w:pPr>
      <w:r w:rsidRPr="009D3007">
        <w:rPr>
          <w:rFonts w:hint="eastAsia"/>
          <w:color w:val="00008B"/>
          <w:sz w:val="30"/>
        </w:rPr>
        <w:t xml:space="preserve">6. </w:t>
      </w:r>
      <w:r w:rsidRPr="009D3007">
        <w:rPr>
          <w:rFonts w:hint="eastAsia"/>
          <w:color w:val="00008B"/>
          <w:sz w:val="30"/>
        </w:rPr>
        <w:t>可追溯证据</w:t>
      </w:r>
    </w:p>
    <w:p w14:paraId="18B4A808" w14:textId="206AB1E7" w:rsidR="009D3007" w:rsidRDefault="009D3007" w:rsidP="009D3007">
      <w:r w:rsidRPr="009D3007">
        <w:t>- https://gitcode.com/Ascend/MindIE-SD/merge_requests/313</w:t>
      </w:r>
    </w:p>
    <w:p w14:paraId="38379C39" w14:textId="31D17C59" w:rsidR="009D3007" w:rsidRDefault="009D3007" w:rsidP="009D3007">
      <w:r w:rsidRPr="009D3007">
        <w:t>- https://gitcode.com/Ascend/MindIE-SD/merge_requests/347</w:t>
      </w:r>
    </w:p>
    <w:p w14:paraId="4C9C25B1" w14:textId="5B3C3038" w:rsidR="009D3007" w:rsidRDefault="009D3007" w:rsidP="009D3007">
      <w:r w:rsidRPr="009D3007">
        <w:t>- https://gitcode.com/Ascend/MindIE-SD/merge_requests/365</w:t>
      </w:r>
    </w:p>
    <w:p w14:paraId="2F12CBA2" w14:textId="404191CF" w:rsidR="009D3007" w:rsidRDefault="009D3007" w:rsidP="009D3007">
      <w:pPr>
        <w:rPr>
          <w:rFonts w:hint="eastAsia"/>
        </w:rPr>
      </w:pPr>
      <w:r w:rsidRPr="009D3007">
        <w:rPr>
          <w:rFonts w:hint="eastAsia"/>
        </w:rPr>
        <w:t>- commits</w:t>
      </w:r>
      <w:r w:rsidRPr="009D3007">
        <w:rPr>
          <w:rFonts w:hint="eastAsia"/>
        </w:rPr>
        <w:t>：</w:t>
      </w:r>
      <w:r w:rsidRPr="009D3007">
        <w:rPr>
          <w:rFonts w:hint="eastAsia"/>
        </w:rPr>
        <w:t>6c9f080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>0c5670c</w:t>
      </w:r>
      <w:r w:rsidRPr="009D3007">
        <w:rPr>
          <w:rFonts w:hint="eastAsia"/>
        </w:rPr>
        <w:t>、</w:t>
      </w:r>
      <w:r w:rsidRPr="009D3007">
        <w:rPr>
          <w:rFonts w:hint="eastAsia"/>
        </w:rPr>
        <w:t>f1b15b4</w:t>
      </w:r>
    </w:p>
    <w:p w14:paraId="2E837A5B" w14:textId="77777777" w:rsidR="009D3007" w:rsidRPr="009D3007" w:rsidRDefault="009D3007" w:rsidP="009D3007"/>
    <w:sectPr w:rsidR="009D3007" w:rsidRPr="009D3007" w:rsidSect="009D3007">
      <w:headerReference w:type="default" r:id="rId6"/>
      <w:footerReference w:type="default" r:id="rId7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C425D" w14:textId="77777777" w:rsidR="009D3007" w:rsidRDefault="009D3007" w:rsidP="009D3007">
      <w:pPr>
        <w:spacing w:after="0" w:line="240" w:lineRule="auto"/>
      </w:pPr>
      <w:r>
        <w:separator/>
      </w:r>
    </w:p>
  </w:endnote>
  <w:endnote w:type="continuationSeparator" w:id="0">
    <w:p w14:paraId="3D47E874" w14:textId="77777777" w:rsidR="009D3007" w:rsidRDefault="009D3007" w:rsidP="009D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6071" w14:textId="4657923F" w:rsidR="009D3007" w:rsidRPr="009D3007" w:rsidRDefault="009D3007" w:rsidP="009D3007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80598" w14:textId="77777777" w:rsidR="009D3007" w:rsidRDefault="009D3007" w:rsidP="009D3007">
      <w:pPr>
        <w:spacing w:after="0" w:line="240" w:lineRule="auto"/>
      </w:pPr>
      <w:r>
        <w:separator/>
      </w:r>
    </w:p>
  </w:footnote>
  <w:footnote w:type="continuationSeparator" w:id="0">
    <w:p w14:paraId="62B5DA54" w14:textId="77777777" w:rsidR="009D3007" w:rsidRDefault="009D3007" w:rsidP="009D3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0988" w14:textId="6AF4E1DB" w:rsidR="009D3007" w:rsidRPr="009D3007" w:rsidRDefault="009D3007" w:rsidP="009D3007">
    <w:pPr>
      <w:pStyle w:val="a3"/>
      <w:jc w:val="right"/>
      <w:rPr>
        <w:color w:val="777777"/>
        <w:sz w:val="16"/>
      </w:rPr>
    </w:pPr>
    <w:r w:rsidRPr="009D3007">
      <w:rPr>
        <w:rFonts w:hint="eastAsia"/>
        <w:color w:val="777777"/>
        <w:sz w:val="16"/>
      </w:rPr>
      <w:t xml:space="preserve">MindIE-SD </w:t>
    </w:r>
    <w:r w:rsidRPr="009D3007">
      <w:rPr>
        <w:rFonts w:hint="eastAsia"/>
        <w:color w:val="777777"/>
        <w:sz w:val="16"/>
      </w:rPr>
      <w:t>研发交付件｜</w:t>
    </w:r>
    <w:r w:rsidRPr="009D3007">
      <w:rPr>
        <w:rFonts w:hint="eastAsia"/>
        <w:color w:val="777777"/>
        <w:sz w:val="16"/>
      </w:rPr>
      <w:t>MXFP4</w:t>
    </w:r>
    <w:r w:rsidRPr="009D3007">
      <w:rPr>
        <w:rFonts w:hint="eastAsia"/>
        <w:color w:val="777777"/>
        <w:sz w:val="16"/>
      </w:rPr>
      <w:t>量化闪存注意力验证报告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07"/>
    <w:rsid w:val="007E06FB"/>
    <w:rsid w:val="009316DD"/>
    <w:rsid w:val="009D3007"/>
    <w:rsid w:val="00A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180B9"/>
  <w15:chartTrackingRefBased/>
  <w15:docId w15:val="{08F4FF66-4F2A-4A1A-98C5-1EFBC0DD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D30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3007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3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3007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D300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D30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3007"/>
    <w:rPr>
      <w:rFonts w:ascii="Calibri" w:eastAsia="微软雅黑" w:hAnsi="Calibri" w:cs="Calibr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>Huawei Technologies Co., Ltd.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