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440"/>
        <w:jc w:val="center"/>
      </w:pPr>
      <w:r>
        <w:rPr>
          <w:rFonts w:ascii="Arial" w:hAnsi="Arial"/>
          <w:b/>
          <w:color w:val="C7000B"/>
          <w:sz w:val="28"/>
        </w:rPr>
        <w:t>MINDIE-SD</w:t>
      </w:r>
    </w:p>
    <w:p>
      <w:pPr>
        <w:pStyle w:val="Title"/>
        <w:spacing w:before="360"/>
        <w:jc w:val="center"/>
      </w:pPr>
      <w:r>
        <w:t>多模态生成服务化样例设计说明书</w:t>
      </w:r>
    </w:p>
    <w:p>
      <w:pPr>
        <w:jc w:val="center"/>
      </w:pPr>
      <w:r>
        <w:rPr>
          <w:color w:val="5B6573"/>
          <w:sz w:val="24"/>
        </w:rPr>
        <w:t>设计说明书 · PR 证据化版本</w:t>
      </w:r>
    </w:p>
    <w:p>
      <w:pPr>
        <w:spacing w:before="1400"/>
        <w:jc w:val="center"/>
      </w:pPr>
      <w:r>
        <w:rPr>
          <w:sz w:val="20"/>
        </w:rPr>
        <w:t>基于 Ascend/MindIE-SD 仓库实现与 GitCode PR 记录整理</w:t>
        <w:br/>
        <w:t>文档日期：2026-09-10</w:t>
      </w:r>
    </w:p>
    <w:p>
      <w:r>
        <w:br w:type="page"/>
      </w:r>
    </w:p>
    <w:p>
      <w:pPr>
        <w:pStyle w:val="Heading1"/>
      </w:pPr>
      <w:r>
        <w:t>1. 文档概述</w:t>
      </w:r>
    </w:p>
    <w:p>
      <w:r>
        <w:t>本文描述 MindIE-SD 基于 FastAPI、Ray 与 HCCL 的多 NPU 视频生成服务化样例。该工作由本人负责设计与交付，对应 GitCode PR !66（https://gitcode.com/Ascend/MindIE-SD/merge_requests/66），于 2026-01-14 合入，新增 4 个文件、560 行；PR !217（https://gitcode.com/Ascend/MindIE-SD/merge_requests/217） 后续同步 Wan2.2 RainFusion 配置并修复 T2V 精度路径。</w:t>
      </w:r>
    </w:p>
    <w:p>
      <w:pPr>
        <w:pStyle w:val="Heading1"/>
      </w:pPr>
      <w:r>
        <w:t>2. 需求背景</w:t>
      </w:r>
    </w:p>
    <w:p>
      <w:r>
        <w:t>模型仓通常只提供命令行离线生成脚本，业务调用方需要自行处理 HTTP 契约、模型常驻、多 NPU 进程、并行组初始化、输入校验、结果落盘和性能日志。不同 T2V/I2V 模型参数又不完全一致，重复建设成本高。</w:t>
      </w:r>
    </w:p>
    <w:p>
      <w:r>
        <w:t>本设计提供一套可运行参考：FastAPI 负责稳定请求边界，Engine 负责请求广播，Ray Actor 负责 NPU 资源隔离，Worker 负责模型相关初始化与推理。</w:t>
      </w:r>
    </w:p>
    <w:p>
      <w:pPr>
        <w:pStyle w:val="Heading1"/>
      </w:pPr>
      <w:r>
        <w:t>3. 设计目标</w:t>
      </w:r>
    </w:p>
    <w:p>
      <w:pPr>
        <w:pStyle w:val="ListBullet"/>
      </w:pPr>
      <w:r>
        <w:t>提供统一 POST /generate 接口，覆盖文本生视频与图生视频。</w:t>
      </w:r>
    </w:p>
    <w:p>
      <w:pPr>
        <w:pStyle w:val="ListBullet"/>
      </w:pPr>
      <w:r>
        <w:t>模型在 Worker 启动时加载并预热，请求期间复用。</w:t>
      </w:r>
    </w:p>
    <w:p>
      <w:pPr>
        <w:pStyle w:val="ListBullet"/>
      </w:pPr>
      <w:r>
        <w:t>每个 Ray Worker 独占 1 个 NPU 资源，支持多卡协同推理。</w:t>
      </w:r>
    </w:p>
    <w:p>
      <w:pPr>
        <w:pStyle w:val="ListBullet"/>
      </w:pPr>
      <w:r>
        <w:t>支持 Ulysses、Ring、TP、CFG、FSDP、VAE 并行、AttentionCache 和 RainFusion 组合。</w:t>
      </w:r>
    </w:p>
    <w:p>
      <w:pPr>
        <w:pStyle w:val="ListBullet"/>
      </w:pPr>
      <w:r>
        <w:t>返回生成耗时和输出路径，统一异常为 HTTP 500。</w:t>
      </w:r>
    </w:p>
    <w:p>
      <w:r>
        <w:t>非目标：生产级鉴权、限流、排队、取消、流式返回、多租户隔离和跨节点容灾。本实现定位是服务化接入样例。</w:t>
      </w:r>
    </w:p>
    <w:p>
      <w:pPr>
        <w:pStyle w:val="Heading1"/>
      </w:pPr>
      <w:r>
        <w:t>4. 总体架构</w:t>
      </w:r>
    </w:p>
    <w:p>
      <w:pPr>
        <w:keepLines/>
        <w:jc w:val="center"/>
      </w:pPr>
      <w:r>
        <w:drawing>
          <wp:inline xmlns:a="http://schemas.openxmlformats.org/drawingml/2006/main" xmlns:pic="http://schemas.openxmlformats.org/drawingml/2006/picture">
            <wp:extent cx="3807340" cy="658367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rvice_inference_design_1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807340" cy="658367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80"/>
        <w:jc w:val="center"/>
      </w:pPr>
      <w:r>
        <w:rPr>
          <w:i/>
          <w:color w:val="5B6573"/>
          <w:sz w:val="17"/>
        </w:rPr>
        <w:t>图 1  设计视图（由 PlantUML 源码渲染）</w:t>
      </w:r>
    </w:p>
    <w:p>
      <w:pPr>
        <w:pStyle w:val="Heading1"/>
      </w:pPr>
      <w:r>
        <w:t>5. 请求接口</w:t>
      </w:r>
    </w:p>
    <w:p>
      <w:r>
        <w:t>GeneratorRequest 使用 Pydantic 定义以下主要字段：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248"/>
        <w:gridCol w:w="3248"/>
        <w:gridCol w:w="3248"/>
      </w:tblGrid>
      <w:tr>
        <w:trPr>
          <w:cantSplit/>
        </w:trPr>
        <w:tc>
          <w:tcPr>
            <w:tcW w:type="dxa" w:w="3248"/>
            <w:vAlign w:val="center"/>
            <w:shd w:fill="C7000B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字段</w:t>
            </w:r>
          </w:p>
        </w:tc>
        <w:tc>
          <w:tcPr>
            <w:tcW w:type="dxa" w:w="3248"/>
            <w:vAlign w:val="center"/>
            <w:shd w:fill="C7000B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默认值</w:t>
            </w:r>
          </w:p>
        </w:tc>
        <w:tc>
          <w:tcPr>
            <w:tcW w:type="dxa" w:w="3248"/>
            <w:vAlign w:val="center"/>
            <w:shd w:fill="C7000B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说明</w:t>
            </w:r>
          </w:p>
        </w:tc>
      </w:tr>
      <w:tr>
        <w:trPr>
          <w:cantSplit/>
        </w:trPr>
        <w:tc>
          <w:tcPr>
            <w:tcW w:type="dxa" w:w="324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20252B"/>
                <w:sz w:val="18"/>
              </w:rPr>
              <w:t>prompt</w:t>
            </w:r>
          </w:p>
        </w:tc>
        <w:tc>
          <w:tcPr>
            <w:tcW w:type="dxa" w:w="324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20252B"/>
                <w:sz w:val="18"/>
              </w:rPr>
              <w:t>必选</w:t>
            </w:r>
          </w:p>
        </w:tc>
        <w:tc>
          <w:tcPr>
            <w:tcW w:type="dxa" w:w="324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20252B"/>
                <w:sz w:val="18"/>
              </w:rPr>
              <w:t>文本提示词</w:t>
            </w:r>
          </w:p>
        </w:tc>
      </w:tr>
      <w:tr>
        <w:trPr>
          <w:cantSplit/>
        </w:trPr>
        <w:tc>
          <w:tcPr>
            <w:tcW w:type="dxa" w:w="3248"/>
            <w:vAlign w:val="center"/>
            <w:shd w:fill="F3F5F7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20252B"/>
                <w:sz w:val="18"/>
              </w:rPr>
              <w:t>sample_steps</w:t>
            </w:r>
          </w:p>
        </w:tc>
        <w:tc>
          <w:tcPr>
            <w:tcW w:type="dxa" w:w="3248"/>
            <w:vAlign w:val="center"/>
            <w:shd w:fill="F3F5F7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20252B"/>
                <w:sz w:val="18"/>
              </w:rPr>
              <w:t>必选</w:t>
            </w:r>
          </w:p>
        </w:tc>
        <w:tc>
          <w:tcPr>
            <w:tcW w:type="dxa" w:w="3248"/>
            <w:vAlign w:val="center"/>
            <w:shd w:fill="F3F5F7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20252B"/>
                <w:sz w:val="18"/>
              </w:rPr>
              <w:t>采样步数</w:t>
            </w:r>
          </w:p>
        </w:tc>
      </w:tr>
      <w:tr>
        <w:trPr>
          <w:cantSplit/>
        </w:trPr>
        <w:tc>
          <w:tcPr>
            <w:tcW w:type="dxa" w:w="324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20252B"/>
                <w:sz w:val="18"/>
              </w:rPr>
              <w:t>task</w:t>
            </w:r>
          </w:p>
        </w:tc>
        <w:tc>
          <w:tcPr>
            <w:tcW w:type="dxa" w:w="324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20252B"/>
                <w:sz w:val="18"/>
              </w:rPr>
              <w:t>t2v-A14B</w:t>
            </w:r>
          </w:p>
        </w:tc>
        <w:tc>
          <w:tcPr>
            <w:tcW w:type="dxa" w:w="324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20252B"/>
                <w:sz w:val="18"/>
              </w:rPr>
              <w:t>T2V/I2V 任务类型</w:t>
            </w:r>
          </w:p>
        </w:tc>
      </w:tr>
      <w:tr>
        <w:trPr>
          <w:cantSplit/>
        </w:trPr>
        <w:tc>
          <w:tcPr>
            <w:tcW w:type="dxa" w:w="3248"/>
            <w:vAlign w:val="center"/>
            <w:shd w:fill="F3F5F7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20252B"/>
                <w:sz w:val="18"/>
              </w:rPr>
              <w:t>image</w:t>
            </w:r>
          </w:p>
        </w:tc>
        <w:tc>
          <w:tcPr>
            <w:tcW w:type="dxa" w:w="3248"/>
            <w:vAlign w:val="center"/>
            <w:shd w:fill="F3F5F7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20252B"/>
                <w:sz w:val="18"/>
              </w:rPr>
              <w:t>None</w:t>
            </w:r>
          </w:p>
        </w:tc>
        <w:tc>
          <w:tcPr>
            <w:tcW w:type="dxa" w:w="3248"/>
            <w:vAlign w:val="center"/>
            <w:shd w:fill="F3F5F7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20252B"/>
                <w:sz w:val="18"/>
              </w:rPr>
              <w:t>I2V 输入图片路径</w:t>
            </w:r>
          </w:p>
        </w:tc>
      </w:tr>
      <w:tr>
        <w:trPr>
          <w:cantSplit/>
        </w:trPr>
        <w:tc>
          <w:tcPr>
            <w:tcW w:type="dxa" w:w="324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20252B"/>
                <w:sz w:val="18"/>
              </w:rPr>
              <w:t>size</w:t>
            </w:r>
          </w:p>
        </w:tc>
        <w:tc>
          <w:tcPr>
            <w:tcW w:type="dxa" w:w="324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20252B"/>
                <w:sz w:val="18"/>
              </w:rPr>
              <w:t>1280*720</w:t>
            </w:r>
          </w:p>
        </w:tc>
        <w:tc>
          <w:tcPr>
            <w:tcW w:type="dxa" w:w="324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20252B"/>
                <w:sz w:val="18"/>
              </w:rPr>
              <w:t>输出分辨率配置键</w:t>
            </w:r>
          </w:p>
        </w:tc>
      </w:tr>
      <w:tr>
        <w:trPr>
          <w:cantSplit/>
        </w:trPr>
        <w:tc>
          <w:tcPr>
            <w:tcW w:type="dxa" w:w="3248"/>
            <w:vAlign w:val="center"/>
            <w:shd w:fill="F3F5F7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20252B"/>
                <w:sz w:val="18"/>
              </w:rPr>
              <w:t>frame_num</w:t>
            </w:r>
          </w:p>
        </w:tc>
        <w:tc>
          <w:tcPr>
            <w:tcW w:type="dxa" w:w="3248"/>
            <w:vAlign w:val="center"/>
            <w:shd w:fill="F3F5F7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20252B"/>
                <w:sz w:val="18"/>
              </w:rPr>
              <w:t>81</w:t>
            </w:r>
          </w:p>
        </w:tc>
        <w:tc>
          <w:tcPr>
            <w:tcW w:type="dxa" w:w="3248"/>
            <w:vAlign w:val="center"/>
            <w:shd w:fill="F3F5F7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20252B"/>
                <w:sz w:val="18"/>
              </w:rPr>
              <w:t>帧数</w:t>
            </w:r>
          </w:p>
        </w:tc>
      </w:tr>
      <w:tr>
        <w:trPr>
          <w:cantSplit/>
        </w:trPr>
        <w:tc>
          <w:tcPr>
            <w:tcW w:type="dxa" w:w="324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20252B"/>
                <w:sz w:val="18"/>
              </w:rPr>
              <w:t>sample_guide_scale</w:t>
            </w:r>
          </w:p>
        </w:tc>
        <w:tc>
          <w:tcPr>
            <w:tcW w:type="dxa" w:w="324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20252B"/>
                <w:sz w:val="18"/>
              </w:rPr>
              <w:t>None</w:t>
            </w:r>
          </w:p>
        </w:tc>
        <w:tc>
          <w:tcPr>
            <w:tcW w:type="dxa" w:w="324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20252B"/>
                <w:sz w:val="18"/>
              </w:rPr>
              <w:t>引导强度，可为双阶段配置</w:t>
            </w:r>
          </w:p>
        </w:tc>
      </w:tr>
      <w:tr>
        <w:trPr>
          <w:cantSplit/>
        </w:trPr>
        <w:tc>
          <w:tcPr>
            <w:tcW w:type="dxa" w:w="3248"/>
            <w:vAlign w:val="center"/>
            <w:shd w:fill="F3F5F7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20252B"/>
                <w:sz w:val="18"/>
              </w:rPr>
              <w:t>sample_shift</w:t>
            </w:r>
          </w:p>
        </w:tc>
        <w:tc>
          <w:tcPr>
            <w:tcW w:type="dxa" w:w="3248"/>
            <w:vAlign w:val="center"/>
            <w:shd w:fill="F3F5F7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20252B"/>
                <w:sz w:val="18"/>
              </w:rPr>
              <w:t>None</w:t>
            </w:r>
          </w:p>
        </w:tc>
        <w:tc>
          <w:tcPr>
            <w:tcW w:type="dxa" w:w="3248"/>
            <w:vAlign w:val="center"/>
            <w:shd w:fill="F3F5F7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20252B"/>
                <w:sz w:val="18"/>
              </w:rPr>
              <w:t>采样 Shift</w:t>
            </w:r>
          </w:p>
        </w:tc>
      </w:tr>
      <w:tr>
        <w:trPr>
          <w:cantSplit/>
        </w:trPr>
        <w:tc>
          <w:tcPr>
            <w:tcW w:type="dxa" w:w="324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20252B"/>
                <w:sz w:val="18"/>
              </w:rPr>
              <w:t>base_seed</w:t>
            </w:r>
          </w:p>
        </w:tc>
        <w:tc>
          <w:tcPr>
            <w:tcW w:type="dxa" w:w="324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20252B"/>
                <w:sz w:val="18"/>
              </w:rPr>
              <w:t>0</w:t>
            </w:r>
          </w:p>
        </w:tc>
        <w:tc>
          <w:tcPr>
            <w:tcW w:type="dxa" w:w="324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20252B"/>
                <w:sz w:val="18"/>
              </w:rPr>
              <w:t>随机种子</w:t>
            </w:r>
          </w:p>
        </w:tc>
      </w:tr>
      <w:tr>
        <w:trPr>
          <w:cantSplit/>
        </w:trPr>
        <w:tc>
          <w:tcPr>
            <w:tcW w:type="dxa" w:w="3248"/>
            <w:vAlign w:val="center"/>
            <w:shd w:fill="F3F5F7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20252B"/>
                <w:sz w:val="18"/>
              </w:rPr>
              <w:t>offload_model</w:t>
            </w:r>
          </w:p>
        </w:tc>
        <w:tc>
          <w:tcPr>
            <w:tcW w:type="dxa" w:w="3248"/>
            <w:vAlign w:val="center"/>
            <w:shd w:fill="F3F5F7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20252B"/>
                <w:sz w:val="18"/>
              </w:rPr>
              <w:t>False</w:t>
            </w:r>
          </w:p>
        </w:tc>
        <w:tc>
          <w:tcPr>
            <w:tcW w:type="dxa" w:w="3248"/>
            <w:vAlign w:val="center"/>
            <w:shd w:fill="F3F5F7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20252B"/>
                <w:sz w:val="18"/>
              </w:rPr>
              <w:t>是否启用模型 Offload</w:t>
            </w:r>
          </w:p>
        </w:tc>
      </w:tr>
      <w:tr>
        <w:trPr>
          <w:cantSplit/>
        </w:trPr>
        <w:tc>
          <w:tcPr>
            <w:tcW w:type="dxa" w:w="324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20252B"/>
                <w:sz w:val="18"/>
              </w:rPr>
              <w:t>save_disk_path</w:t>
            </w:r>
          </w:p>
        </w:tc>
        <w:tc>
          <w:tcPr>
            <w:tcW w:type="dxa" w:w="324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20252B"/>
                <w:sz w:val="18"/>
              </w:rPr>
              <w:t>None</w:t>
            </w:r>
          </w:p>
        </w:tc>
        <w:tc>
          <w:tcPr>
            <w:tcW w:type="dxa" w:w="324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20252B"/>
                <w:sz w:val="18"/>
              </w:rPr>
              <w:t>输出文件路径；为空时自动生成</w:t>
            </w:r>
          </w:p>
        </w:tc>
      </w:tr>
    </w:tbl>
    <w:p>
      <w:pPr>
        <w:spacing w:after="0"/>
      </w:pPr>
    </w:p>
    <w:p>
      <w:r>
        <w:t>响应包含 message、elapsed_time 与 output。I2V 缺少图片时 Worker 抛出明确错误。</w:t>
      </w:r>
    </w:p>
    <w:p>
      <w:pPr>
        <w:pStyle w:val="Heading1"/>
      </w:pPr>
      <w:r>
        <w:t>6. 初始化流程</w:t>
      </w:r>
    </w:p>
    <w:p>
      <w:pPr>
        <w:keepLines/>
        <w:jc w:val="center"/>
      </w:pPr>
      <w:r>
        <w:drawing>
          <wp:inline xmlns:a="http://schemas.openxmlformats.org/drawingml/2006/main" xmlns:pic="http://schemas.openxmlformats.org/drawingml/2006/picture">
            <wp:extent cx="5806440" cy="3051251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rvice_inference_design_2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05125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80"/>
        <w:jc w:val="center"/>
      </w:pPr>
      <w:r>
        <w:rPr>
          <w:i/>
          <w:color w:val="5B6573"/>
          <w:sz w:val="17"/>
        </w:rPr>
        <w:t>图 2  设计视图（由 PlantUML 源码渲染）</w:t>
      </w:r>
    </w:p>
    <w:p>
      <w:r>
        <w:t>并行度必须满足 cfg_size * ulysses_size * ring_size * tp_size == world_size。若 TP 与 DiT FSDP 同时配置，样例关闭 DiT FSDP；Ulysses 还要求 Attention Head 数可整除并行度。</w:t>
      </w:r>
    </w:p>
    <w:p>
      <w:pPr>
        <w:pStyle w:val="Heading1"/>
      </w:pPr>
      <w:r>
        <w:t>7. 请求执行时序</w:t>
      </w:r>
    </w:p>
    <w:p>
      <w:pPr>
        <w:keepLines/>
        <w:jc w:val="center"/>
      </w:pPr>
      <w:r>
        <w:drawing>
          <wp:inline xmlns:a="http://schemas.openxmlformats.org/drawingml/2006/main" xmlns:pic="http://schemas.openxmlformats.org/drawingml/2006/picture">
            <wp:extent cx="5806440" cy="3130287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rvice_inference_design_3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13028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80"/>
        <w:jc w:val="center"/>
      </w:pPr>
      <w:r>
        <w:rPr>
          <w:i/>
          <w:color w:val="5B6573"/>
          <w:sz w:val="17"/>
        </w:rPr>
        <w:t>图 3  设计视图（由 PlantUML 源码渲染）</w:t>
      </w:r>
    </w:p>
    <w:p>
      <w:pPr>
        <w:pStyle w:val="Heading1"/>
      </w:pPr>
      <w:r>
        <w:t>8. 模块设计</w:t>
      </w:r>
    </w:p>
    <w:p>
      <w:pPr>
        <w:pStyle w:val="Heading2"/>
      </w:pPr>
      <w:r>
        <w:t>8.1 API 层</w:t>
      </w:r>
    </w:p>
    <w:p>
      <w:r>
        <w:t>FastAPI 完成 JSON 到 Pydantic 对象的转换，/generate 调用 Engine。已有 HTTPException 原样上抛，其余异常包装为 500，避免泄漏 Python 堆栈给客户端。</w:t>
      </w:r>
    </w:p>
    <w:p>
      <w:pPr>
        <w:pStyle w:val="Heading2"/>
      </w:pPr>
      <w:r>
        <w:t>8.2 Engine 层</w:t>
      </w:r>
    </w:p>
    <w:p>
      <w:r>
        <w:t>Engine 初始化 Ray 并按 world_size 创建等量 Actor。一次请求同步 fan-out 到全部 Rank，保证多卡模型每个 Rank 进入相同生成步骤；完成后聚合结果。</w:t>
      </w:r>
    </w:p>
    <w:p>
      <w:pPr>
        <w:pStyle w:val="Heading2"/>
      </w:pPr>
      <w:r>
        <w:t>8.3 Worker 层</w:t>
      </w:r>
    </w:p>
    <w:p>
      <w:r>
        <w:t>Worker 设置分布式环境，初始化 HCCL 与 Wan 配置，按任务创建 WanT2V 或 WanI2V。公共初始化统一注入 RainFusion、Tensor Parallel 和 AttentionCache；请求阶段同步 Seed、读取图片、调用 Pipeline、统计耗时并由 rank 0 落盘。</w:t>
      </w:r>
    </w:p>
    <w:p>
      <w:pPr>
        <w:pStyle w:val="Heading2"/>
      </w:pPr>
      <w:r>
        <w:t>8.4 模型适配边界</w:t>
      </w:r>
    </w:p>
    <w:p>
      <w:r>
        <w:t>Engine 与 HTTP 契约保持通用；模型差异集中在 GeneratorRequest、Worker 初始化和 generate 参数映射。迁移新模型时应复用 API/Engine，仅替换 Worker Adapter。</w:t>
      </w:r>
    </w:p>
    <w:p>
      <w:pPr>
        <w:pStyle w:val="Heading1"/>
      </w:pPr>
      <w:r>
        <w:t>9. DFX 设计</w:t>
      </w:r>
    </w:p>
    <w:p>
      <w:pPr>
        <w:pStyle w:val="ListBullet"/>
      </w:pPr>
      <w:r>
        <w:t>可观测性：rank 0 记录请求摘要、模型配置、预热、生成耗时与输出路径；其他 Rank 降低日志级别。</w:t>
      </w:r>
    </w:p>
    <w:p>
      <w:pPr>
        <w:pStyle w:val="ListBullet"/>
      </w:pPr>
      <w:r>
        <w:t>可靠性：启动阶段验证并行乘积和 Head 可分性；请求阶段在生成前后同步 NPU Stream。</w:t>
      </w:r>
    </w:p>
    <w:p>
      <w:pPr>
        <w:pStyle w:val="ListBullet"/>
      </w:pPr>
      <w:r>
        <w:t>性能：模型常驻与预热消除逐请求加载；Ray 负责资源绑定；MindIE-SD Cache/RainFusion 可组合启用。</w:t>
      </w:r>
    </w:p>
    <w:p>
      <w:pPr>
        <w:pStyle w:val="ListBullet"/>
      </w:pPr>
      <w:r>
        <w:t>安全性：示例默认监听 0.0.0.0 且无鉴权，生产部署必须置于受控网关后，并校验输入/输出路径。</w:t>
      </w:r>
    </w:p>
    <w:p>
      <w:pPr>
        <w:pStyle w:val="ListBullet"/>
      </w:pPr>
      <w:r>
        <w:t>可维护性：请求、Server、Worker、使用文档四文件分层，模型适配点明确。</w:t>
      </w:r>
    </w:p>
    <w:p>
      <w:r>
        <w:br w:type="page"/>
      </w:r>
    </w:p>
    <w:p>
      <w:pPr>
        <w:pStyle w:val="Heading1"/>
      </w:pPr>
      <w:r>
        <w:t>10. 测试设计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872"/>
        <w:gridCol w:w="4872"/>
      </w:tblGrid>
      <w:tr>
        <w:trPr>
          <w:cantSplit/>
        </w:trPr>
        <w:tc>
          <w:tcPr>
            <w:tcW w:type="dxa" w:w="4872"/>
            <w:vAlign w:val="center"/>
            <w:shd w:fill="C7000B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层级</w:t>
            </w:r>
          </w:p>
        </w:tc>
        <w:tc>
          <w:tcPr>
            <w:tcW w:type="dxa" w:w="4872"/>
            <w:vAlign w:val="center"/>
            <w:shd w:fill="C7000B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测试内容</w:t>
            </w:r>
          </w:p>
        </w:tc>
      </w:tr>
      <w:tr>
        <w:trPr>
          <w:cantSplit/>
        </w:trPr>
        <w:tc>
          <w:tcPr>
            <w:tcW w:type="dxa" w:w="487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20252B"/>
                <w:sz w:val="18"/>
              </w:rPr>
              <w:t>Schema</w:t>
            </w:r>
          </w:p>
        </w:tc>
        <w:tc>
          <w:tcPr>
            <w:tcW w:type="dxa" w:w="487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20252B"/>
                <w:sz w:val="18"/>
              </w:rPr>
              <w:t>必填/默认字段、T2V/I2V 条件和非法 Shape</w:t>
            </w:r>
          </w:p>
        </w:tc>
      </w:tr>
      <w:tr>
        <w:trPr>
          <w:cantSplit/>
        </w:trPr>
        <w:tc>
          <w:tcPr>
            <w:tcW w:type="dxa" w:w="4872"/>
            <w:vAlign w:val="center"/>
            <w:shd w:fill="F3F5F7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20252B"/>
                <w:sz w:val="18"/>
              </w:rPr>
              <w:t>Engine</w:t>
            </w:r>
          </w:p>
        </w:tc>
        <w:tc>
          <w:tcPr>
            <w:tcW w:type="dxa" w:w="4872"/>
            <w:vAlign w:val="center"/>
            <w:shd w:fill="F3F5F7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20252B"/>
                <w:sz w:val="18"/>
              </w:rPr>
              <w:t>Worker 数等于 world size，请求对所有 Rank 广播</w:t>
            </w:r>
          </w:p>
        </w:tc>
      </w:tr>
      <w:tr>
        <w:trPr>
          <w:cantSplit/>
        </w:trPr>
        <w:tc>
          <w:tcPr>
            <w:tcW w:type="dxa" w:w="487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20252B"/>
                <w:sz w:val="18"/>
              </w:rPr>
              <w:t>并行初始化</w:t>
            </w:r>
          </w:p>
        </w:tc>
        <w:tc>
          <w:tcPr>
            <w:tcW w:type="dxa" w:w="487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20252B"/>
                <w:sz w:val="18"/>
              </w:rPr>
              <w:t>并行度乘积、Ulysses Head 整除、TP/FSDP 冲突处理</w:t>
            </w:r>
          </w:p>
        </w:tc>
      </w:tr>
      <w:tr>
        <w:trPr>
          <w:cantSplit/>
        </w:trPr>
        <w:tc>
          <w:tcPr>
            <w:tcW w:type="dxa" w:w="4872"/>
            <w:vAlign w:val="center"/>
            <w:shd w:fill="F3F5F7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20252B"/>
                <w:sz w:val="18"/>
              </w:rPr>
              <w:t>Worker</w:t>
            </w:r>
          </w:p>
        </w:tc>
        <w:tc>
          <w:tcPr>
            <w:tcW w:type="dxa" w:w="4872"/>
            <w:vAlign w:val="center"/>
            <w:shd w:fill="F3F5F7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20252B"/>
                <w:sz w:val="18"/>
              </w:rPr>
              <w:t>T2V 与 I2V 参数映射、RainFusion v2、Cache 配置</w:t>
            </w:r>
          </w:p>
        </w:tc>
      </w:tr>
      <w:tr>
        <w:trPr>
          <w:cantSplit/>
        </w:trPr>
        <w:tc>
          <w:tcPr>
            <w:tcW w:type="dxa" w:w="487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20252B"/>
                <w:sz w:val="18"/>
              </w:rPr>
              <w:t>E2E</w:t>
            </w:r>
          </w:p>
        </w:tc>
        <w:tc>
          <w:tcPr>
            <w:tcW w:type="dxa" w:w="487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20252B"/>
                <w:sz w:val="18"/>
              </w:rPr>
              <w:t>Wan2.2 多卡生成成功、输出视频可解码、固定 Seed 质量一致</w:t>
            </w:r>
          </w:p>
        </w:tc>
      </w:tr>
      <w:tr>
        <w:trPr>
          <w:cantSplit/>
        </w:trPr>
        <w:tc>
          <w:tcPr>
            <w:tcW w:type="dxa" w:w="4872"/>
            <w:vAlign w:val="center"/>
            <w:shd w:fill="F3F5F7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20252B"/>
                <w:sz w:val="18"/>
              </w:rPr>
              <w:t>性能</w:t>
            </w:r>
          </w:p>
        </w:tc>
        <w:tc>
          <w:tcPr>
            <w:tcW w:type="dxa" w:w="4872"/>
            <w:vAlign w:val="center"/>
            <w:shd w:fill="F3F5F7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20252B"/>
                <w:sz w:val="18"/>
              </w:rPr>
              <w:t>冷启动、预热后延迟、端到端吞吐和各 Rank 利用率</w:t>
            </w:r>
          </w:p>
        </w:tc>
      </w:tr>
      <w:tr>
        <w:trPr>
          <w:cantSplit/>
        </w:trPr>
        <w:tc>
          <w:tcPr>
            <w:tcW w:type="dxa" w:w="487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20252B"/>
                <w:sz w:val="18"/>
              </w:rPr>
              <w:t>故障</w:t>
            </w:r>
          </w:p>
        </w:tc>
        <w:tc>
          <w:tcPr>
            <w:tcW w:type="dxa" w:w="487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20252B"/>
                <w:sz w:val="18"/>
              </w:rPr>
              <w:t>图片缺失、磁盘失败、Worker 异常、HCCL 超时映射为可诊断响应</w:t>
            </w:r>
          </w:p>
        </w:tc>
      </w:tr>
    </w:tbl>
    <w:p>
      <w:pPr>
        <w:spacing w:after="0"/>
      </w:pPr>
    </w:p>
    <w:p>
      <w:pPr>
        <w:pStyle w:val="Heading1"/>
      </w:pPr>
      <w:r>
        <w:t>11. 风险与演进</w:t>
      </w:r>
    </w:p>
    <w:p>
      <w:pPr>
        <w:pStyle w:val="ListBullet"/>
      </w:pPr>
      <w:r>
        <w:t>ray.get 位于 async 方法中，会阻塞事件循环；生产版应使用异步 ObjectRef 或后台任务队列。</w:t>
      </w:r>
    </w:p>
    <w:p>
      <w:pPr>
        <w:pStyle w:val="ListBullet"/>
      </w:pPr>
      <w:r>
        <w:t>Ray 初始化资源数和 args.world_size=8 为样例常量，应改为设备发现与配置注入。</w:t>
      </w:r>
    </w:p>
    <w:p>
      <w:pPr>
        <w:pStyle w:val="ListBullet"/>
      </w:pPr>
      <w:r>
        <w:t>所有请求直接进入全部 Worker，缺少并发队列、背压、取消和超时控制。</w:t>
      </w:r>
    </w:p>
    <w:p>
      <w:pPr>
        <w:pStyle w:val="ListBullet"/>
      </w:pPr>
      <w:r>
        <w:t>save_disk_path 与 image 是本地路径，生产环境必须做目录白名单、文件类型和权限校验。</w:t>
      </w:r>
    </w:p>
    <w:p>
      <w:pPr>
        <w:pStyle w:val="ListBullet"/>
      </w:pPr>
      <w:r>
        <w:t>当前只返回落盘路径，不提供对象存储上传或视频流；可后续抽象 Result Sink。</w:t>
      </w:r>
    </w:p>
    <w:p>
      <w:pPr>
        <w:pStyle w:val="ListBullet"/>
      </w:pPr>
      <w:r>
        <w:t>全局 Engine 生命周期依赖脚本直接启动；多 Worker Uvicorn 部署时需增加显式应用生命周期管理。</w:t>
      </w:r>
    </w:p>
    <w:p>
      <w:pPr>
        <w:pStyle w:val="Heading1"/>
      </w:pPr>
      <w:r>
        <w:t>12. 关键文件</w:t>
      </w:r>
    </w:p>
    <w:p>
      <w:pPr>
        <w:pStyle w:val="ListBullet"/>
      </w:pPr>
      <w:r>
        <w:t>examples/service/request.py：HTTP 请求契约。</w:t>
      </w:r>
    </w:p>
    <w:p>
      <w:pPr>
        <w:pStyle w:val="ListBullet"/>
      </w:pPr>
      <w:r>
        <w:t>examples/service/server.py：FastAPI、Engine 与 Ray Actor 编排。</w:t>
      </w:r>
    </w:p>
    <w:p>
      <w:pPr>
        <w:pStyle w:val="ListBullet"/>
      </w:pPr>
      <w:r>
        <w:t>examples/service/worker.py：HCCL、Wan 模型、并行与优化特性适配。</w:t>
      </w:r>
    </w:p>
    <w:p>
      <w:pPr>
        <w:pStyle w:val="ListBullet"/>
      </w:pPr>
      <w:r>
        <w:t>examples/service/service.md：启动与 Curl 示例。</w:t>
      </w:r>
    </w:p>
    <w:p>
      <w:pPr>
        <w:pStyle w:val="ListBullet"/>
      </w:pPr>
      <w:r>
        <w:t>examples/service/requirements.txt：服务层依赖。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91" w:right="1191" w:bottom="1134" w:left="130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Microsoft YaHei" w:hAnsi="Microsoft YaHei"/>
        <w:color w:val="5B6573"/>
        <w:sz w:val="16"/>
      </w:rPr>
      <w:t xml:space="preserve">内部技术材料  ·  </w:t>
    </w:r>
    <w:r>
      <w:rPr>
        <w:rFonts w:ascii="Microsoft YaHei" w:hAnsi="Microsoft YaHei"/>
        <w:color w:val="5B6573"/>
        <w:sz w:val="16"/>
      </w:rP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Microsoft YaHei" w:hAnsi="Microsoft YaHei"/>
        <w:color w:val="5B6573"/>
        <w:sz w:val="16"/>
      </w:rPr>
      <w:t>MindIE-SD 设计说明书  |  任职材料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24" w:lineRule="auto" w:after="120"/>
    </w:pPr>
    <w:rPr>
      <w:rFonts w:ascii="Microsoft YaHei" w:hAnsi="Microsoft YaHei" w:eastAsia="Microsoft YaHei"/>
      <w:color w:val="20252B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C7000B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20252B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20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5B6573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120" w:line="240" w:lineRule="auto" w:before="240"/>
      <w:contextualSpacing/>
    </w:pPr>
    <w:rPr>
      <w:rFonts w:asciiTheme="majorHAnsi" w:eastAsiaTheme="majorEastAsia" w:hAnsiTheme="majorHAnsi" w:cstheme="majorBidi" w:ascii="Microsoft YaHei" w:hAnsi="Microsoft YaHei" w:eastAsia="Microsoft YaHei"/>
      <w:b/>
      <w:color w:val="C7000B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 Block"/>
    <w:pPr>
      <w:spacing w:before="60" w:after="60" w:line="240" w:lineRule="auto"/>
      <w:ind w:left="255" w:right="142"/>
    </w:pPr>
    <w:rPr>
      <w:rFonts w:ascii="Consolas" w:hAnsi="Consolas" w:eastAsia="Microsoft YaHei"/>
      <w:sz w:val="17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